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77777777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570583B0" w14:textId="386851EF" w:rsidR="0081459D" w:rsidRDefault="00024586" w:rsidP="00A3416F">
      <w:pPr>
        <w:pStyle w:val="Pamatteksts"/>
        <w:ind w:right="66"/>
        <w:jc w:val="center"/>
        <w:rPr>
          <w:b/>
        </w:rPr>
      </w:pPr>
      <w:r w:rsidRPr="00024586">
        <w:rPr>
          <w:b/>
        </w:rPr>
        <w:t>“Dabiskās ventilācijas kanālu pārbaude un tīrīšana Daugavpils pilsētas pašvaldības iestādē “Sociālais dienests””</w:t>
      </w:r>
      <w:r w:rsidR="0081459D" w:rsidRPr="0081459D">
        <w:rPr>
          <w:b/>
        </w:rPr>
        <w:t>, ID Nr. DPPISD 2022/3</w:t>
      </w:r>
      <w:r>
        <w:rPr>
          <w:b/>
        </w:rPr>
        <w:t>4</w:t>
      </w:r>
    </w:p>
    <w:p w14:paraId="686E9190" w14:textId="1FDA08FC" w:rsidR="00276C19" w:rsidRPr="006479AF" w:rsidRDefault="00B51E7B" w:rsidP="00A3416F">
      <w:pPr>
        <w:pStyle w:val="Pamatteksts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 w:rsidR="0081459D">
        <w:t>3</w:t>
      </w:r>
      <w:r w:rsidR="00024586">
        <w:t>4</w:t>
      </w:r>
      <w:r w:rsidR="00723104" w:rsidRPr="006479AF">
        <w:t>)</w:t>
      </w:r>
    </w:p>
    <w:p w14:paraId="74D32171" w14:textId="77777777" w:rsidR="00276C19" w:rsidRPr="006479AF" w:rsidRDefault="00276C19" w:rsidP="00F65DD7">
      <w:pPr>
        <w:pStyle w:val="Pamatteksts"/>
      </w:pPr>
    </w:p>
    <w:p w14:paraId="047F3AA9" w14:textId="77777777" w:rsidR="009B36C8" w:rsidRDefault="00B51E7B" w:rsidP="00603A77">
      <w:pPr>
        <w:pStyle w:val="Pamatteksts"/>
        <w:tabs>
          <w:tab w:val="left" w:pos="7513"/>
        </w:tabs>
        <w:ind w:right="3"/>
      </w:pPr>
      <w:r w:rsidRPr="006479AF">
        <w:t xml:space="preserve"> </w:t>
      </w:r>
    </w:p>
    <w:p w14:paraId="62B6EDFA" w14:textId="733DF6B3" w:rsidR="00276C19" w:rsidRPr="006479AF" w:rsidRDefault="006B6A96" w:rsidP="00603A77">
      <w:pPr>
        <w:pStyle w:val="Pamatteksts"/>
        <w:tabs>
          <w:tab w:val="left" w:pos="7513"/>
        </w:tabs>
        <w:ind w:right="3"/>
      </w:pPr>
      <w:r>
        <w:t xml:space="preserve"> </w:t>
      </w:r>
      <w:r w:rsidR="00723104" w:rsidRPr="006479AF">
        <w:t>20</w:t>
      </w:r>
      <w:r w:rsidR="00A3416F">
        <w:t>2</w:t>
      </w:r>
      <w:r w:rsidR="00603A77">
        <w:t>2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024586">
        <w:rPr>
          <w:spacing w:val="-1"/>
        </w:rPr>
        <w:t>20.septembrī</w:t>
      </w:r>
      <w:r w:rsidR="00A3416F">
        <w:tab/>
        <w:t xml:space="preserve"> </w:t>
      </w:r>
      <w:r w:rsidR="00723104" w:rsidRPr="006479AF">
        <w:t>Nr.2.-</w:t>
      </w:r>
      <w:r w:rsidR="00341E25" w:rsidRPr="006479AF">
        <w:t>4</w:t>
      </w:r>
      <w:r w:rsidR="00723104" w:rsidRPr="006479AF">
        <w:t>.</w:t>
      </w:r>
      <w:r w:rsidR="00341E25" w:rsidRPr="006479AF">
        <w:t>3</w:t>
      </w:r>
      <w:r w:rsidR="00723104" w:rsidRPr="006479AF">
        <w:t>./</w:t>
      </w:r>
      <w:r w:rsidR="00024586">
        <w:t>33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3724838F" w:rsidR="006B6A96" w:rsidRDefault="00723104" w:rsidP="00F65DD7">
      <w:pPr>
        <w:pStyle w:val="Pamatteksts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08920EAF" w:rsidR="00276C19" w:rsidRPr="004455C1" w:rsidRDefault="00192479" w:rsidP="00F65DD7">
      <w:pPr>
        <w:pStyle w:val="Pamatteksts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194777">
        <w:rPr>
          <w:color w:val="000000" w:themeColor="text1"/>
        </w:rPr>
        <w:t>8</w:t>
      </w:r>
      <w:r w:rsidR="006F5DF7" w:rsidRPr="004455C1">
        <w:rPr>
          <w:color w:val="000000" w:themeColor="text1"/>
        </w:rPr>
        <w:t>:</w:t>
      </w:r>
      <w:r w:rsidR="00194777">
        <w:rPr>
          <w:color w:val="000000" w:themeColor="text1"/>
        </w:rPr>
        <w:t>20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EB46B2" w:rsidRPr="00EB46B2" w14:paraId="291208E9" w14:textId="77777777" w:rsidTr="00194777">
        <w:trPr>
          <w:trHeight w:val="575"/>
        </w:trPr>
        <w:tc>
          <w:tcPr>
            <w:tcW w:w="3306" w:type="dxa"/>
          </w:tcPr>
          <w:p w14:paraId="31A6DD38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</w:tcPr>
          <w:p w14:paraId="69818682" w14:textId="481F75E9" w:rsidR="00EB46B2" w:rsidRPr="00EB46B2" w:rsidRDefault="00194777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="00EB46B2" w:rsidRPr="00EB46B2">
              <w:t xml:space="preserve"> – </w:t>
            </w:r>
            <w:r w:rsidR="00EB46B2" w:rsidRPr="00EB46B2">
              <w:rPr>
                <w:color w:val="000000" w:themeColor="text1"/>
              </w:rPr>
              <w:t>Daugavpils pilsētas pašvaldības iestādes “Sociālais dienests” (turpmāk – Dienests) vadītāja</w:t>
            </w:r>
            <w:r>
              <w:rPr>
                <w:color w:val="000000" w:themeColor="text1"/>
              </w:rPr>
              <w:t>s vietniece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EB46B2" w:rsidRPr="00EB46B2" w14:paraId="0A3002C0" w14:textId="77777777" w:rsidTr="00194777">
        <w:trPr>
          <w:trHeight w:val="262"/>
        </w:trPr>
        <w:tc>
          <w:tcPr>
            <w:tcW w:w="3306" w:type="dxa"/>
          </w:tcPr>
          <w:p w14:paraId="33ECAAC3" w14:textId="196D32A3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195FC5B2" w14:textId="3436B955" w:rsidR="002E069D" w:rsidRPr="00EB46B2" w:rsidRDefault="00C559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V.Loginovs</w:t>
            </w:r>
            <w:proofErr w:type="spellEnd"/>
            <w:r w:rsidR="00EB46B2"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>vadītājs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EB46B2" w:rsidRPr="00EB46B2" w14:paraId="753AB0F3" w14:textId="77777777" w:rsidTr="00194777">
        <w:trPr>
          <w:trHeight w:val="251"/>
        </w:trPr>
        <w:tc>
          <w:tcPr>
            <w:tcW w:w="3306" w:type="dxa"/>
          </w:tcPr>
          <w:p w14:paraId="6EE6455B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12FFAA73" w14:textId="59CF46CC" w:rsidR="00EB46B2" w:rsidRPr="00EB46B2" w:rsidRDefault="00024586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O.Daļecka</w:t>
            </w:r>
            <w:proofErr w:type="spellEnd"/>
            <w:r w:rsidR="00EB46B2" w:rsidRPr="00EB46B2">
              <w:rPr>
                <w:color w:val="000000" w:themeColor="text1"/>
              </w:rPr>
              <w:t xml:space="preserve"> – </w:t>
            </w:r>
            <w:r w:rsidR="00194777">
              <w:rPr>
                <w:color w:val="000000" w:themeColor="text1"/>
              </w:rPr>
              <w:t xml:space="preserve">Dienesta </w:t>
            </w:r>
            <w:r w:rsidRPr="00024586">
              <w:rPr>
                <w:color w:val="000000" w:themeColor="text1"/>
              </w:rPr>
              <w:t>Sociālo pakalpojumu nodaļas vadītāja,</w:t>
            </w:r>
          </w:p>
        </w:tc>
      </w:tr>
      <w:tr w:rsidR="004A65BC" w:rsidRPr="00EB46B2" w14:paraId="1234F8CE" w14:textId="77777777" w:rsidTr="00194777">
        <w:trPr>
          <w:trHeight w:val="246"/>
        </w:trPr>
        <w:tc>
          <w:tcPr>
            <w:tcW w:w="3306" w:type="dxa"/>
          </w:tcPr>
          <w:p w14:paraId="67A35CCD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012C0E80" w14:textId="69298925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M.Liniņa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194777" w:rsidRPr="00EB46B2" w14:paraId="3D11137F" w14:textId="77777777" w:rsidTr="00194777">
        <w:trPr>
          <w:trHeight w:val="246"/>
        </w:trPr>
        <w:tc>
          <w:tcPr>
            <w:tcW w:w="3306" w:type="dxa"/>
          </w:tcPr>
          <w:p w14:paraId="68F8AE88" w14:textId="77777777" w:rsidR="00194777" w:rsidRPr="00EB46B2" w:rsidRDefault="00194777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274C8182" w14:textId="7CFDAB5F" w:rsidR="00194777" w:rsidRPr="00EB46B2" w:rsidRDefault="00194777" w:rsidP="004A65BC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194777">
              <w:rPr>
                <w:b/>
                <w:bCs/>
                <w:color w:val="000000" w:themeColor="text1"/>
              </w:rPr>
              <w:t>I.Trifonova</w:t>
            </w:r>
            <w:proofErr w:type="spellEnd"/>
            <w:r w:rsidRPr="00194777">
              <w:rPr>
                <w:b/>
                <w:bCs/>
                <w:color w:val="000000" w:themeColor="text1"/>
              </w:rPr>
              <w:t xml:space="preserve"> – </w:t>
            </w:r>
            <w:r w:rsidRPr="00194777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4A65BC" w:rsidRPr="00EB46B2" w14:paraId="540011DC" w14:textId="77777777" w:rsidTr="00194777">
        <w:trPr>
          <w:trHeight w:val="259"/>
        </w:trPr>
        <w:tc>
          <w:tcPr>
            <w:tcW w:w="3306" w:type="dxa"/>
          </w:tcPr>
          <w:p w14:paraId="1539A213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5F0B6A76" w14:textId="797F4866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T.Kraševska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juriskonsulte.</w:t>
            </w:r>
          </w:p>
        </w:tc>
      </w:tr>
    </w:tbl>
    <w:p w14:paraId="75DF4084" w14:textId="77777777" w:rsidR="004A65BC" w:rsidRDefault="004A65BC" w:rsidP="004A65BC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>Dienesta 2022.gada 11.janvāra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Nr.1.-18./28</w:t>
      </w:r>
      <w:r>
        <w:rPr>
          <w:color w:val="000000" w:themeColor="text1"/>
        </w:rPr>
        <w:t xml:space="preserve"> </w:t>
      </w:r>
      <w:r w:rsidRPr="000A6742">
        <w:rPr>
          <w:color w:val="000000" w:themeColor="text1"/>
        </w:rPr>
        <w:t>“Par preču un pakalpojumu iepirkšanas kārtību”</w:t>
      </w:r>
      <w:r>
        <w:rPr>
          <w:color w:val="000000" w:themeColor="text1"/>
        </w:rPr>
        <w:t>.</w:t>
      </w:r>
    </w:p>
    <w:p w14:paraId="10BAFDD2" w14:textId="3D6DFCCD" w:rsidR="004A65BC" w:rsidRDefault="004A65BC" w:rsidP="004A65BC">
      <w:pPr>
        <w:pStyle w:val="Pamatteksts"/>
        <w:spacing w:before="119"/>
        <w:ind w:left="142"/>
        <w:rPr>
          <w:b/>
        </w:rPr>
      </w:pPr>
      <w:r w:rsidRPr="00C34502">
        <w:t>Protokolē: Juridiskā sektora juris</w:t>
      </w:r>
      <w:r>
        <w:t>konsulte</w:t>
      </w:r>
      <w:r w:rsidRPr="00C34502">
        <w:t xml:space="preserve"> </w:t>
      </w:r>
      <w:proofErr w:type="spellStart"/>
      <w:r w:rsidRPr="000A6742">
        <w:rPr>
          <w:bCs/>
        </w:rPr>
        <w:t>T.Kraševska</w:t>
      </w:r>
      <w:proofErr w:type="spellEnd"/>
      <w:r w:rsidRPr="000A6742">
        <w:rPr>
          <w:bCs/>
        </w:rPr>
        <w:t>.</w:t>
      </w:r>
    </w:p>
    <w:p w14:paraId="1913B3F6" w14:textId="65111093" w:rsidR="00276C19" w:rsidRDefault="00723104" w:rsidP="00F65DD7">
      <w:pPr>
        <w:pStyle w:val="Pamatteksts"/>
        <w:spacing w:before="157"/>
        <w:ind w:left="142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="00AC2E3F" w:rsidRPr="00AC2E3F">
        <w:t>Piedāvājumu atvēršana un novērtēšana.</w:t>
      </w:r>
    </w:p>
    <w:p w14:paraId="45905839" w14:textId="7BB61D43" w:rsidR="00AC2E3F" w:rsidRPr="00C34502" w:rsidRDefault="00194777" w:rsidP="00950009">
      <w:pPr>
        <w:pStyle w:val="Sarakstarindkopa"/>
        <w:numPr>
          <w:ilvl w:val="0"/>
          <w:numId w:val="1"/>
        </w:numPr>
        <w:spacing w:line="276" w:lineRule="auto"/>
        <w:ind w:left="426" w:right="3" w:hanging="284"/>
      </w:pPr>
      <w:proofErr w:type="spellStart"/>
      <w:r>
        <w:t>R.Vavilova</w:t>
      </w:r>
      <w:proofErr w:type="spellEnd"/>
      <w:r w:rsidR="00AC2E3F" w:rsidRPr="00C34502">
        <w:t xml:space="preserve"> paziņo, ka Dienesta mājas lapā </w:t>
      </w:r>
      <w:hyperlink r:id="rId7">
        <w:r w:rsidR="00AC2E3F" w:rsidRPr="00E72ADE">
          <w:rPr>
            <w:u w:val="single"/>
          </w:rPr>
          <w:t>www.socd.lv</w:t>
        </w:r>
      </w:hyperlink>
      <w:r w:rsidR="00AC2E3F" w:rsidRPr="00C34502">
        <w:t xml:space="preserve"> 20</w:t>
      </w:r>
      <w:r w:rsidR="00AC2E3F">
        <w:t>22</w:t>
      </w:r>
      <w:r w:rsidR="00AC2E3F" w:rsidRPr="00C34502">
        <w:t xml:space="preserve">.gada </w:t>
      </w:r>
      <w:r>
        <w:t>9.septembrī</w:t>
      </w:r>
      <w:r w:rsidR="00AC2E3F"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 w:rsidR="00AC2E3F">
        <w:t>22</w:t>
      </w:r>
      <w:r w:rsidR="00AC2E3F" w:rsidRPr="00C34502">
        <w:t xml:space="preserve">.gada </w:t>
      </w:r>
      <w:r w:rsidR="00146074">
        <w:t>19</w:t>
      </w:r>
      <w:r w:rsidR="00AC2E3F">
        <w:t>.</w:t>
      </w:r>
      <w:r>
        <w:t>septembrim</w:t>
      </w:r>
      <w:r w:rsidR="00AC2E3F" w:rsidRPr="00C34502">
        <w:t xml:space="preserve">, plkst.10:00. </w:t>
      </w:r>
      <w:r w:rsidR="00AC2E3F" w:rsidRPr="00E72ADE">
        <w:t xml:space="preserve">Saskaņā ar ziņojuma </w:t>
      </w:r>
      <w:r>
        <w:t>9</w:t>
      </w:r>
      <w:r w:rsidR="00AC2E3F" w:rsidRPr="00E72ADE">
        <w:t xml:space="preserve">.punktu vērtēšanas kritērijs ir </w:t>
      </w:r>
      <w:r w:rsidR="00AC2E3F">
        <w:t>piedāvājums ar viszemāko cenu</w:t>
      </w:r>
      <w:r w:rsidR="00AC2E3F" w:rsidRPr="00E72ADE">
        <w:t xml:space="preserve">, kas atbilst ziņojumā </w:t>
      </w:r>
      <w:r w:rsidR="00AC2E3F">
        <w:t>minētajām prasībām.</w:t>
      </w:r>
    </w:p>
    <w:p w14:paraId="37998B49" w14:textId="06373440" w:rsidR="00AC2E3F" w:rsidRPr="002A198C" w:rsidRDefault="00AC2E3F" w:rsidP="00B813FC">
      <w:pPr>
        <w:pStyle w:val="Sarakstarindkopa"/>
        <w:numPr>
          <w:ilvl w:val="0"/>
          <w:numId w:val="1"/>
        </w:numPr>
        <w:tabs>
          <w:tab w:val="left" w:pos="284"/>
        </w:tabs>
        <w:spacing w:line="276" w:lineRule="auto"/>
        <w:ind w:left="426" w:right="0" w:hanging="284"/>
        <w:rPr>
          <w:color w:val="000000" w:themeColor="text1"/>
        </w:rPr>
      </w:pPr>
      <w:r w:rsidRPr="002A198C">
        <w:rPr>
          <w:color w:val="000000" w:themeColor="text1"/>
        </w:rPr>
        <w:t>Savu</w:t>
      </w:r>
      <w:r w:rsidR="007B3CEF">
        <w:rPr>
          <w:color w:val="000000" w:themeColor="text1"/>
        </w:rPr>
        <w:t>s</w:t>
      </w:r>
      <w:r w:rsidRPr="002A198C">
        <w:rPr>
          <w:color w:val="000000" w:themeColor="text1"/>
        </w:rPr>
        <w:t xml:space="preserve"> piedāvājumus iesniedza </w:t>
      </w:r>
      <w:r w:rsidR="00024586">
        <w:rPr>
          <w:color w:val="000000" w:themeColor="text1"/>
        </w:rPr>
        <w:t>3</w:t>
      </w:r>
      <w:r w:rsidRPr="002A198C">
        <w:rPr>
          <w:color w:val="000000" w:themeColor="text1"/>
        </w:rPr>
        <w:t xml:space="preserve"> (</w:t>
      </w:r>
      <w:r w:rsidR="00024586">
        <w:rPr>
          <w:color w:val="000000" w:themeColor="text1"/>
        </w:rPr>
        <w:t>trīs</w:t>
      </w:r>
      <w:r w:rsidRPr="002A198C">
        <w:rPr>
          <w:color w:val="000000" w:themeColor="text1"/>
        </w:rPr>
        <w:t>)</w:t>
      </w:r>
      <w:r w:rsidRPr="002A198C">
        <w:rPr>
          <w:color w:val="000000" w:themeColor="text1"/>
          <w:spacing w:val="2"/>
        </w:rPr>
        <w:t xml:space="preserve"> </w:t>
      </w:r>
      <w:r w:rsidRPr="002A198C">
        <w:rPr>
          <w:color w:val="000000" w:themeColor="text1"/>
        </w:rPr>
        <w:t xml:space="preserve">pretendenti: </w:t>
      </w:r>
    </w:p>
    <w:tbl>
      <w:tblPr>
        <w:tblStyle w:val="TableNormal"/>
        <w:tblW w:w="6877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2835"/>
      </w:tblGrid>
      <w:tr w:rsidR="00545ACF" w14:paraId="699FAA0C" w14:textId="77777777" w:rsidTr="00545ACF">
        <w:trPr>
          <w:trHeight w:val="625"/>
        </w:trPr>
        <w:tc>
          <w:tcPr>
            <w:tcW w:w="4042" w:type="dxa"/>
            <w:shd w:val="clear" w:color="auto" w:fill="F2F2F2" w:themeFill="background1" w:themeFillShade="F2"/>
            <w:vAlign w:val="center"/>
          </w:tcPr>
          <w:p w14:paraId="6DBA14E0" w14:textId="77777777" w:rsidR="00545ACF" w:rsidRPr="00C34502" w:rsidRDefault="00545ACF" w:rsidP="00112C40">
            <w:pPr>
              <w:pStyle w:val="TableParagraph"/>
              <w:spacing w:before="0"/>
              <w:ind w:right="743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4555B62" w14:textId="12A6A1AC" w:rsidR="00545ACF" w:rsidRDefault="00545ACF" w:rsidP="001C17A2">
            <w:pPr>
              <w:pStyle w:val="TableParagraph"/>
              <w:spacing w:before="0"/>
              <w:ind w:left="153" w:right="136" w:firstLine="125"/>
              <w:rPr>
                <w:b/>
              </w:rPr>
            </w:pPr>
            <w:r w:rsidRPr="00194777">
              <w:rPr>
                <w:b/>
              </w:rPr>
              <w:t>Piedāvātā līgumcena</w:t>
            </w:r>
            <w:r>
              <w:rPr>
                <w:b/>
              </w:rPr>
              <w:t>,</w:t>
            </w:r>
            <w:r w:rsidRPr="00194777">
              <w:rPr>
                <w:b/>
              </w:rPr>
              <w:t xml:space="preserve"> EUR </w:t>
            </w:r>
            <w:r>
              <w:rPr>
                <w:b/>
              </w:rPr>
              <w:t>ar</w:t>
            </w:r>
            <w:r w:rsidRPr="00194777">
              <w:rPr>
                <w:b/>
              </w:rPr>
              <w:t xml:space="preserve"> PVN</w:t>
            </w:r>
          </w:p>
        </w:tc>
      </w:tr>
      <w:tr w:rsidR="00545ACF" w14:paraId="063AEDAB" w14:textId="77777777" w:rsidTr="00545ACF">
        <w:trPr>
          <w:trHeight w:val="450"/>
        </w:trPr>
        <w:tc>
          <w:tcPr>
            <w:tcW w:w="4042" w:type="dxa"/>
            <w:vAlign w:val="center"/>
          </w:tcPr>
          <w:p w14:paraId="2D4B7A55" w14:textId="77A4E398" w:rsidR="00545ACF" w:rsidRPr="00C34502" w:rsidRDefault="00545ACF" w:rsidP="00545ACF">
            <w:pPr>
              <w:pStyle w:val="TableParagraph"/>
              <w:ind w:left="4" w:right="-12"/>
            </w:pPr>
            <w:r>
              <w:t>SIA “</w:t>
            </w:r>
            <w:proofErr w:type="spellStart"/>
            <w:r>
              <w:t>Viza</w:t>
            </w:r>
            <w:proofErr w:type="spellEnd"/>
            <w:r>
              <w:t>” (reģ.Nr.</w:t>
            </w:r>
            <w:r w:rsidRPr="00545ACF">
              <w:t>41503010853</w:t>
            </w:r>
            <w:r>
              <w:t>)</w:t>
            </w:r>
          </w:p>
        </w:tc>
        <w:tc>
          <w:tcPr>
            <w:tcW w:w="2835" w:type="dxa"/>
            <w:vAlign w:val="center"/>
          </w:tcPr>
          <w:p w14:paraId="0D941D76" w14:textId="337AFA5C" w:rsidR="00545ACF" w:rsidRDefault="00545ACF" w:rsidP="001C17A2">
            <w:pPr>
              <w:pStyle w:val="TableParagraph"/>
              <w:ind w:left="0" w:right="-8" w:firstLine="6"/>
            </w:pPr>
            <w:r>
              <w:t>2468,40</w:t>
            </w:r>
          </w:p>
        </w:tc>
      </w:tr>
      <w:tr w:rsidR="00AE029A" w14:paraId="0DDFDD66" w14:textId="77777777" w:rsidTr="001E2C6C">
        <w:trPr>
          <w:trHeight w:val="450"/>
        </w:trPr>
        <w:tc>
          <w:tcPr>
            <w:tcW w:w="4042" w:type="dxa"/>
          </w:tcPr>
          <w:p w14:paraId="71F871DE" w14:textId="70198856" w:rsidR="00AE029A" w:rsidRDefault="00AE029A" w:rsidP="00AE029A">
            <w:pPr>
              <w:pStyle w:val="TableParagraph"/>
              <w:ind w:left="4" w:right="-12"/>
            </w:pPr>
            <w:r w:rsidRPr="002E170A">
              <w:t>SIA “AURI” (reģ.Nr.41503089692)</w:t>
            </w:r>
          </w:p>
        </w:tc>
        <w:tc>
          <w:tcPr>
            <w:tcW w:w="2835" w:type="dxa"/>
          </w:tcPr>
          <w:p w14:paraId="63354689" w14:textId="1E9043CE" w:rsidR="00AE029A" w:rsidRDefault="00AE029A" w:rsidP="00AE029A">
            <w:pPr>
              <w:pStyle w:val="TableParagraph"/>
              <w:ind w:left="0" w:right="-8" w:firstLine="6"/>
            </w:pPr>
            <w:r w:rsidRPr="002E170A">
              <w:t>3025,00</w:t>
            </w:r>
          </w:p>
        </w:tc>
      </w:tr>
      <w:tr w:rsidR="00545ACF" w14:paraId="0F98EDFC" w14:textId="77777777" w:rsidTr="00545ACF">
        <w:trPr>
          <w:trHeight w:val="450"/>
        </w:trPr>
        <w:tc>
          <w:tcPr>
            <w:tcW w:w="4042" w:type="dxa"/>
            <w:vAlign w:val="center"/>
          </w:tcPr>
          <w:p w14:paraId="1DBC7CA2" w14:textId="4DACFE48" w:rsidR="00545ACF" w:rsidRDefault="00545ACF" w:rsidP="001C17A2">
            <w:pPr>
              <w:pStyle w:val="TableParagraph"/>
              <w:ind w:left="4" w:right="-12"/>
            </w:pPr>
            <w:r>
              <w:t>SIA “</w:t>
            </w:r>
            <w:proofErr w:type="spellStart"/>
            <w:r>
              <w:t>Clean</w:t>
            </w:r>
            <w:proofErr w:type="spellEnd"/>
            <w:r>
              <w:t xml:space="preserve"> </w:t>
            </w:r>
            <w:proofErr w:type="spellStart"/>
            <w:r>
              <w:t>Baltic</w:t>
            </w:r>
            <w:proofErr w:type="spellEnd"/>
            <w:r>
              <w:t>” (reģ.Nr.40003965882)</w:t>
            </w:r>
            <w:r w:rsidR="00112C40">
              <w:t xml:space="preserve"> Nav PVN maksātājs</w:t>
            </w:r>
          </w:p>
        </w:tc>
        <w:tc>
          <w:tcPr>
            <w:tcW w:w="2835" w:type="dxa"/>
            <w:vAlign w:val="center"/>
          </w:tcPr>
          <w:p w14:paraId="7CF64A9A" w14:textId="762140AA" w:rsidR="00545ACF" w:rsidRDefault="00545ACF" w:rsidP="001C17A2">
            <w:pPr>
              <w:pStyle w:val="TableParagraph"/>
              <w:ind w:left="0" w:right="-8" w:firstLine="6"/>
            </w:pPr>
            <w:r>
              <w:t>2000,00</w:t>
            </w:r>
          </w:p>
        </w:tc>
      </w:tr>
    </w:tbl>
    <w:p w14:paraId="0878D832" w14:textId="188436BA" w:rsidR="00222F0B" w:rsidRDefault="00AE029A" w:rsidP="002B4303">
      <w:pPr>
        <w:pStyle w:val="Sarakstarindkopa"/>
        <w:numPr>
          <w:ilvl w:val="0"/>
          <w:numId w:val="1"/>
        </w:numPr>
        <w:ind w:left="426" w:right="3" w:hanging="284"/>
        <w:rPr>
          <w:color w:val="000000" w:themeColor="text1"/>
        </w:rPr>
      </w:pPr>
      <w:r>
        <w:rPr>
          <w:color w:val="000000" w:themeColor="text1"/>
        </w:rPr>
        <w:t xml:space="preserve">Izvērtējot </w:t>
      </w:r>
      <w:r w:rsidRPr="00AE029A">
        <w:rPr>
          <w:color w:val="000000" w:themeColor="text1"/>
        </w:rPr>
        <w:t>SIA “</w:t>
      </w:r>
      <w:proofErr w:type="spellStart"/>
      <w:r w:rsidRPr="00AE029A">
        <w:rPr>
          <w:color w:val="000000" w:themeColor="text1"/>
        </w:rPr>
        <w:t>Viza</w:t>
      </w:r>
      <w:proofErr w:type="spellEnd"/>
      <w:r w:rsidRPr="00AE029A">
        <w:rPr>
          <w:color w:val="000000" w:themeColor="text1"/>
        </w:rPr>
        <w:t>”</w:t>
      </w:r>
      <w:r>
        <w:rPr>
          <w:color w:val="000000" w:themeColor="text1"/>
        </w:rPr>
        <w:t xml:space="preserve"> piedāvājumu, komisija konstatēja, ka</w:t>
      </w:r>
      <w:r w:rsidRPr="00AE029A">
        <w:rPr>
          <w:color w:val="000000" w:themeColor="text1"/>
        </w:rPr>
        <w:t xml:space="preserve"> pretendent</w:t>
      </w:r>
      <w:r>
        <w:rPr>
          <w:color w:val="000000" w:themeColor="text1"/>
        </w:rPr>
        <w:t>a</w:t>
      </w:r>
      <w:r w:rsidRPr="00AE029A">
        <w:rPr>
          <w:color w:val="000000" w:themeColor="text1"/>
        </w:rPr>
        <w:t xml:space="preserve"> piedāvājum</w:t>
      </w:r>
      <w:r>
        <w:rPr>
          <w:color w:val="000000" w:themeColor="text1"/>
        </w:rPr>
        <w:t>s</w:t>
      </w:r>
      <w:r w:rsidRPr="00AE029A">
        <w:rPr>
          <w:color w:val="000000" w:themeColor="text1"/>
        </w:rPr>
        <w:t xml:space="preserve"> atbilst ziņojumā minētajām prasībām</w:t>
      </w:r>
      <w:r>
        <w:rPr>
          <w:color w:val="000000" w:themeColor="text1"/>
        </w:rPr>
        <w:t>.</w:t>
      </w:r>
    </w:p>
    <w:p w14:paraId="7E168884" w14:textId="65395689" w:rsidR="00AE029A" w:rsidRDefault="00AE029A" w:rsidP="00AE029A">
      <w:pPr>
        <w:pStyle w:val="Sarakstarindkopa"/>
        <w:numPr>
          <w:ilvl w:val="0"/>
          <w:numId w:val="1"/>
        </w:numPr>
        <w:ind w:left="426" w:right="3" w:hanging="284"/>
        <w:rPr>
          <w:color w:val="000000" w:themeColor="text1"/>
        </w:rPr>
      </w:pPr>
      <w:r w:rsidRPr="00AE029A">
        <w:rPr>
          <w:color w:val="000000" w:themeColor="text1"/>
        </w:rPr>
        <w:t>Izvērtējot SIA “AURI” piedāvājumu, komisija konstatēja, ka pretendenta piedāvājums atbilst ziņojumā minētajām prasībām</w:t>
      </w:r>
      <w:r>
        <w:rPr>
          <w:color w:val="000000" w:themeColor="text1"/>
        </w:rPr>
        <w:t>, tomēr</w:t>
      </w:r>
      <w:r w:rsidRPr="00AE029A">
        <w:t xml:space="preserve"> </w:t>
      </w:r>
      <w:r w:rsidRPr="00AE029A">
        <w:rPr>
          <w:color w:val="000000" w:themeColor="text1"/>
        </w:rPr>
        <w:t>piedāvātā cena pārsniedz paredzamo līgumcenu</w:t>
      </w:r>
      <w:r>
        <w:rPr>
          <w:color w:val="000000" w:themeColor="text1"/>
        </w:rPr>
        <w:t>.</w:t>
      </w:r>
    </w:p>
    <w:p w14:paraId="78CC05B1" w14:textId="59B0DCF5" w:rsidR="00A05FD8" w:rsidRDefault="00750A55" w:rsidP="00A05FD8">
      <w:pPr>
        <w:pStyle w:val="Sarakstarindkopa"/>
        <w:numPr>
          <w:ilvl w:val="0"/>
          <w:numId w:val="1"/>
        </w:numPr>
        <w:ind w:left="426" w:right="3" w:hanging="284"/>
        <w:rPr>
          <w:color w:val="000000" w:themeColor="text1"/>
        </w:rPr>
      </w:pPr>
      <w:r w:rsidRPr="00750A55">
        <w:rPr>
          <w:color w:val="000000" w:themeColor="text1"/>
        </w:rPr>
        <w:t>Izvērtējot SIA “</w:t>
      </w:r>
      <w:proofErr w:type="spellStart"/>
      <w:r w:rsidRPr="00750A55">
        <w:rPr>
          <w:color w:val="000000" w:themeColor="text1"/>
        </w:rPr>
        <w:t>Clean</w:t>
      </w:r>
      <w:proofErr w:type="spellEnd"/>
      <w:r w:rsidRPr="00750A55">
        <w:rPr>
          <w:color w:val="000000" w:themeColor="text1"/>
        </w:rPr>
        <w:t xml:space="preserve"> </w:t>
      </w:r>
      <w:proofErr w:type="spellStart"/>
      <w:r w:rsidRPr="00750A55">
        <w:rPr>
          <w:color w:val="000000" w:themeColor="text1"/>
        </w:rPr>
        <w:t>Baltic</w:t>
      </w:r>
      <w:proofErr w:type="spellEnd"/>
      <w:r w:rsidRPr="00750A55">
        <w:rPr>
          <w:color w:val="000000" w:themeColor="text1"/>
        </w:rPr>
        <w:t xml:space="preserve">” piedāvājumu, komisija konstatēja, ka </w:t>
      </w:r>
      <w:r w:rsidR="00BA68FA">
        <w:rPr>
          <w:color w:val="000000" w:themeColor="text1"/>
        </w:rPr>
        <w:t>nav pievienot</w:t>
      </w:r>
      <w:r w:rsidR="00A05FD8">
        <w:rPr>
          <w:color w:val="000000" w:themeColor="text1"/>
        </w:rPr>
        <w:t>a</w:t>
      </w:r>
      <w:r w:rsidR="00BA68FA">
        <w:rPr>
          <w:color w:val="000000" w:themeColor="text1"/>
        </w:rPr>
        <w:t xml:space="preserve"> </w:t>
      </w:r>
      <w:r w:rsidR="00BA68FA" w:rsidRPr="00BA68FA">
        <w:rPr>
          <w:color w:val="000000" w:themeColor="text1"/>
        </w:rPr>
        <w:t>darbu veikšanas tiesīb</w:t>
      </w:r>
      <w:r w:rsidR="00BA68FA">
        <w:rPr>
          <w:color w:val="000000" w:themeColor="text1"/>
        </w:rPr>
        <w:t xml:space="preserve">u </w:t>
      </w:r>
      <w:r w:rsidR="00BA68FA" w:rsidRPr="00BA68FA">
        <w:rPr>
          <w:color w:val="000000" w:themeColor="text1"/>
        </w:rPr>
        <w:t>apliecinoša dokumenta kopija</w:t>
      </w:r>
      <w:r w:rsidR="00BA68FA">
        <w:rPr>
          <w:color w:val="000000" w:themeColor="text1"/>
        </w:rPr>
        <w:t xml:space="preserve">, proti, piesaistītā speciālista </w:t>
      </w:r>
      <w:r w:rsidR="00BA68FA" w:rsidRPr="00BA68FA">
        <w:rPr>
          <w:color w:val="000000" w:themeColor="text1"/>
        </w:rPr>
        <w:t>kvalifikāciju apliecinoša dokumenta kopija</w:t>
      </w:r>
      <w:r w:rsidR="00BA68FA">
        <w:rPr>
          <w:color w:val="000000" w:themeColor="text1"/>
        </w:rPr>
        <w:t xml:space="preserve">. </w:t>
      </w:r>
      <w:r w:rsidR="00381DCB">
        <w:rPr>
          <w:color w:val="000000" w:themeColor="text1"/>
        </w:rPr>
        <w:t xml:space="preserve">Pārbaudot publiski pieejamo informāciju </w:t>
      </w:r>
      <w:r w:rsidR="00381DCB" w:rsidRPr="00381DCB">
        <w:rPr>
          <w:color w:val="000000" w:themeColor="text1"/>
        </w:rPr>
        <w:t>Būvniecības informācijas sistēm</w:t>
      </w:r>
      <w:r w:rsidR="00A05FD8">
        <w:rPr>
          <w:color w:val="000000" w:themeColor="text1"/>
        </w:rPr>
        <w:t>as</w:t>
      </w:r>
      <w:r w:rsidR="00381DCB" w:rsidRPr="00381DCB">
        <w:rPr>
          <w:color w:val="000000" w:themeColor="text1"/>
        </w:rPr>
        <w:t xml:space="preserve"> </w:t>
      </w:r>
      <w:proofErr w:type="spellStart"/>
      <w:r w:rsidR="00A05FD8" w:rsidRPr="00A05FD8">
        <w:rPr>
          <w:color w:val="000000" w:themeColor="text1"/>
        </w:rPr>
        <w:t>Būvspeciālistu</w:t>
      </w:r>
      <w:proofErr w:type="spellEnd"/>
      <w:r w:rsidR="00A05FD8" w:rsidRPr="00A05FD8">
        <w:rPr>
          <w:color w:val="000000" w:themeColor="text1"/>
        </w:rPr>
        <w:t xml:space="preserve"> reģistr</w:t>
      </w:r>
      <w:r w:rsidR="00A05FD8">
        <w:rPr>
          <w:color w:val="000000" w:themeColor="text1"/>
        </w:rPr>
        <w:t>ā</w:t>
      </w:r>
      <w:r w:rsidR="00A05FD8" w:rsidRPr="00A05FD8">
        <w:rPr>
          <w:color w:val="000000" w:themeColor="text1"/>
        </w:rPr>
        <w:t xml:space="preserve"> </w:t>
      </w:r>
      <w:r w:rsidR="00381DCB">
        <w:rPr>
          <w:color w:val="000000" w:themeColor="text1"/>
        </w:rPr>
        <w:t>(</w:t>
      </w:r>
      <w:hyperlink r:id="rId8" w:history="1">
        <w:r w:rsidR="00381DCB" w:rsidRPr="008B2C43">
          <w:rPr>
            <w:rStyle w:val="Hipersaite"/>
          </w:rPr>
          <w:t>https://bis.gov.lv/bisp/lv/specialist_certificates</w:t>
        </w:r>
      </w:hyperlink>
      <w:r w:rsidR="00381DCB">
        <w:rPr>
          <w:color w:val="000000" w:themeColor="text1"/>
        </w:rPr>
        <w:t xml:space="preserve">), komisija konstatēja, ka </w:t>
      </w:r>
      <w:r w:rsidR="00381DCB" w:rsidRPr="00381DCB">
        <w:rPr>
          <w:color w:val="000000" w:themeColor="text1"/>
        </w:rPr>
        <w:lastRenderedPageBreak/>
        <w:t>SIA “</w:t>
      </w:r>
      <w:proofErr w:type="spellStart"/>
      <w:r w:rsidR="00381DCB" w:rsidRPr="00381DCB">
        <w:rPr>
          <w:color w:val="000000" w:themeColor="text1"/>
        </w:rPr>
        <w:t>Clean</w:t>
      </w:r>
      <w:proofErr w:type="spellEnd"/>
      <w:r w:rsidR="00381DCB" w:rsidRPr="00381DCB">
        <w:rPr>
          <w:color w:val="000000" w:themeColor="text1"/>
        </w:rPr>
        <w:t xml:space="preserve"> </w:t>
      </w:r>
      <w:proofErr w:type="spellStart"/>
      <w:r w:rsidR="00381DCB" w:rsidRPr="00381DCB">
        <w:rPr>
          <w:color w:val="000000" w:themeColor="text1"/>
        </w:rPr>
        <w:t>Baltic</w:t>
      </w:r>
      <w:proofErr w:type="spellEnd"/>
      <w:r w:rsidR="00381DCB" w:rsidRPr="00381DCB">
        <w:rPr>
          <w:color w:val="000000" w:themeColor="text1"/>
        </w:rPr>
        <w:t>”</w:t>
      </w:r>
      <w:r w:rsidR="00381DCB">
        <w:rPr>
          <w:color w:val="000000" w:themeColor="text1"/>
        </w:rPr>
        <w:t xml:space="preserve"> pie</w:t>
      </w:r>
      <w:r w:rsidR="00507D57">
        <w:rPr>
          <w:color w:val="000000" w:themeColor="text1"/>
        </w:rPr>
        <w:t>s</w:t>
      </w:r>
      <w:r w:rsidR="00381DCB">
        <w:rPr>
          <w:color w:val="000000" w:themeColor="text1"/>
        </w:rPr>
        <w:t>aistītā speciālista kvalifikācija atbilst ziņojuma</w:t>
      </w:r>
      <w:r w:rsidR="00507D57">
        <w:rPr>
          <w:color w:val="000000" w:themeColor="text1"/>
        </w:rPr>
        <w:t xml:space="preserve"> 8.5.apakšpunktā minētajām p</w:t>
      </w:r>
      <w:r w:rsidR="00A05FD8">
        <w:rPr>
          <w:color w:val="000000" w:themeColor="text1"/>
        </w:rPr>
        <w:t>r</w:t>
      </w:r>
      <w:r w:rsidR="00507D57">
        <w:rPr>
          <w:color w:val="000000" w:themeColor="text1"/>
        </w:rPr>
        <w:t>asībām.</w:t>
      </w:r>
    </w:p>
    <w:p w14:paraId="6808378D" w14:textId="4988624B" w:rsidR="00A05FD8" w:rsidRPr="00A05FD8" w:rsidRDefault="00A05FD8" w:rsidP="00A05FD8">
      <w:pPr>
        <w:pStyle w:val="Sarakstarindkopa"/>
        <w:numPr>
          <w:ilvl w:val="0"/>
          <w:numId w:val="1"/>
        </w:numPr>
        <w:ind w:left="426" w:right="3" w:hanging="284"/>
        <w:rPr>
          <w:color w:val="000000" w:themeColor="text1"/>
        </w:rPr>
      </w:pPr>
      <w:r w:rsidRPr="00A05FD8">
        <w:t>Izvērtējot pretendentu piedāvājumus, komisija konstatēja, ka piedāvājums ar viszemāko cenu ir SIA “</w:t>
      </w:r>
      <w:proofErr w:type="spellStart"/>
      <w:r w:rsidRPr="00A05FD8">
        <w:t>Clean</w:t>
      </w:r>
      <w:proofErr w:type="spellEnd"/>
      <w:r w:rsidRPr="00A05FD8">
        <w:t xml:space="preserve"> </w:t>
      </w:r>
      <w:proofErr w:type="spellStart"/>
      <w:r w:rsidRPr="00A05FD8">
        <w:t>Baltic</w:t>
      </w:r>
      <w:proofErr w:type="spellEnd"/>
      <w:r w:rsidRPr="00A05FD8">
        <w:t>”, tomēr, lai SIA “</w:t>
      </w:r>
      <w:proofErr w:type="spellStart"/>
      <w:r w:rsidRPr="00A05FD8">
        <w:t>Clean</w:t>
      </w:r>
      <w:proofErr w:type="spellEnd"/>
      <w:r w:rsidRPr="00A05FD8">
        <w:t xml:space="preserve"> </w:t>
      </w:r>
      <w:proofErr w:type="spellStart"/>
      <w:r w:rsidRPr="00A05FD8">
        <w:t>Baltic</w:t>
      </w:r>
      <w:proofErr w:type="spellEnd"/>
      <w:r w:rsidRPr="00A05FD8">
        <w:t>” piedāvājums būtu atbilstošs ziņojumā minētajām prasībām, pretendentam ir jāiesniedz pieredzes apraksts (brīvā formā).</w:t>
      </w:r>
    </w:p>
    <w:p w14:paraId="0A37F67E" w14:textId="4CD49751" w:rsidR="00A05FD8" w:rsidRPr="00A05FD8" w:rsidRDefault="00A05FD8" w:rsidP="00A05FD8">
      <w:pPr>
        <w:pStyle w:val="Sarakstarindkopa"/>
        <w:numPr>
          <w:ilvl w:val="0"/>
          <w:numId w:val="1"/>
        </w:numPr>
        <w:ind w:left="426" w:right="3" w:hanging="284"/>
        <w:rPr>
          <w:color w:val="000000" w:themeColor="text1"/>
        </w:rPr>
      </w:pPr>
      <w:r w:rsidRPr="00A05FD8">
        <w:t>Komisija nolēma lūgt SIA “</w:t>
      </w:r>
      <w:proofErr w:type="spellStart"/>
      <w:r w:rsidRPr="00A05FD8">
        <w:t>Clean</w:t>
      </w:r>
      <w:proofErr w:type="spellEnd"/>
      <w:r w:rsidRPr="00A05FD8">
        <w:t xml:space="preserve"> </w:t>
      </w:r>
      <w:proofErr w:type="spellStart"/>
      <w:r w:rsidRPr="00A05FD8">
        <w:t>Baltic</w:t>
      </w:r>
      <w:proofErr w:type="spellEnd"/>
      <w:r w:rsidRPr="00A05FD8">
        <w:t>”</w:t>
      </w:r>
      <w:r w:rsidRPr="00A05FD8">
        <w:t xml:space="preserve"> </w:t>
      </w:r>
      <w:r w:rsidRPr="00A05FD8">
        <w:t>iesniegt Dienestam SIA “</w:t>
      </w:r>
      <w:proofErr w:type="spellStart"/>
      <w:r w:rsidRPr="00A05FD8">
        <w:t>Clean</w:t>
      </w:r>
      <w:proofErr w:type="spellEnd"/>
      <w:r w:rsidRPr="00A05FD8">
        <w:t xml:space="preserve"> </w:t>
      </w:r>
      <w:proofErr w:type="spellStart"/>
      <w:r w:rsidRPr="00A05FD8">
        <w:t>Baltic</w:t>
      </w:r>
      <w:proofErr w:type="spellEnd"/>
      <w:r w:rsidRPr="00A05FD8">
        <w:t>”</w:t>
      </w:r>
      <w:r w:rsidRPr="00A05FD8">
        <w:t xml:space="preserve"> </w:t>
      </w:r>
      <w:r w:rsidRPr="00A05FD8">
        <w:t>pieredzes aprakstu par pieredzi tehniskajā specifikācijā minētā pakalpojuma sniegšanā līdz 202</w:t>
      </w:r>
      <w:r w:rsidRPr="00A05FD8">
        <w:t>2</w:t>
      </w:r>
      <w:r w:rsidRPr="00A05FD8">
        <w:t>.gada 2</w:t>
      </w:r>
      <w:r w:rsidRPr="00A05FD8">
        <w:t>1</w:t>
      </w:r>
      <w:r w:rsidRPr="00A05FD8">
        <w:t>.septembrim plkst.</w:t>
      </w:r>
      <w:r w:rsidRPr="00A05FD8">
        <w:t>9</w:t>
      </w:r>
      <w:r w:rsidRPr="00A05FD8">
        <w:t>.00. un turpināt pretendenta piedāvājuma izvērtēšanu pēc pieredzes apraksta saņemšanas.</w:t>
      </w:r>
    </w:p>
    <w:p w14:paraId="05D71474" w14:textId="77777777" w:rsidR="00A05FD8" w:rsidRDefault="00A05FD8" w:rsidP="009B36C8">
      <w:pPr>
        <w:pStyle w:val="Pamatteksts"/>
        <w:spacing w:before="157"/>
        <w:ind w:left="502"/>
        <w:jc w:val="both"/>
        <w:rPr>
          <w:b/>
          <w:bCs/>
        </w:rPr>
      </w:pPr>
    </w:p>
    <w:p w14:paraId="43F02363" w14:textId="1FF7F0A1" w:rsidR="009B36C8" w:rsidRPr="009B36C8" w:rsidRDefault="009B36C8" w:rsidP="009B36C8">
      <w:pPr>
        <w:pStyle w:val="Pamatteksts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t>Balsojums:</w:t>
      </w:r>
    </w:p>
    <w:p w14:paraId="6E8A5485" w14:textId="506BB269" w:rsidR="009B36C8" w:rsidRDefault="00112C40" w:rsidP="009B36C8">
      <w:pPr>
        <w:pStyle w:val="Pamatteksts"/>
        <w:spacing w:before="157"/>
        <w:ind w:left="502"/>
        <w:jc w:val="both"/>
      </w:pPr>
      <w:proofErr w:type="spellStart"/>
      <w:r>
        <w:t>R.Vavilova</w:t>
      </w:r>
      <w:proofErr w:type="spellEnd"/>
      <w:r w:rsidR="009B36C8">
        <w:t xml:space="preserve"> – “par”</w:t>
      </w:r>
    </w:p>
    <w:p w14:paraId="4BD95E10" w14:textId="677A73E8" w:rsidR="009B36C8" w:rsidRDefault="0030743F" w:rsidP="009B36C8">
      <w:pPr>
        <w:pStyle w:val="Pamatteksts"/>
        <w:spacing w:before="157"/>
        <w:ind w:left="502"/>
        <w:jc w:val="both"/>
      </w:pPr>
      <w:proofErr w:type="spellStart"/>
      <w:r>
        <w:t>V.Loginovs</w:t>
      </w:r>
      <w:proofErr w:type="spellEnd"/>
      <w:r w:rsidR="009B36C8">
        <w:t xml:space="preserve"> –  “par”</w:t>
      </w:r>
    </w:p>
    <w:p w14:paraId="5E457BE3" w14:textId="6CF3847B" w:rsidR="009B36C8" w:rsidRDefault="00112C40" w:rsidP="009B36C8">
      <w:pPr>
        <w:pStyle w:val="Pamatteksts"/>
        <w:spacing w:before="157"/>
        <w:ind w:left="502"/>
        <w:jc w:val="both"/>
      </w:pPr>
      <w:proofErr w:type="spellStart"/>
      <w:r>
        <w:t>O.Daļecka</w:t>
      </w:r>
      <w:proofErr w:type="spellEnd"/>
      <w:r w:rsidR="00A20C9A">
        <w:t xml:space="preserve"> </w:t>
      </w:r>
      <w:r w:rsidR="009B36C8">
        <w:t>– “par”</w:t>
      </w:r>
    </w:p>
    <w:p w14:paraId="552E5450" w14:textId="4E192AF2" w:rsidR="00112C40" w:rsidRDefault="00112C40" w:rsidP="00112C40">
      <w:pPr>
        <w:pStyle w:val="Pamatteksts"/>
        <w:spacing w:before="157"/>
        <w:ind w:left="502"/>
        <w:jc w:val="both"/>
      </w:pPr>
      <w:proofErr w:type="spellStart"/>
      <w:r>
        <w:t>I.Trifonova</w:t>
      </w:r>
      <w:proofErr w:type="spellEnd"/>
      <w:r>
        <w:t xml:space="preserve"> – “par”</w:t>
      </w:r>
    </w:p>
    <w:p w14:paraId="2AAEACC6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M.Liniņa</w:t>
      </w:r>
      <w:proofErr w:type="spellEnd"/>
      <w:r>
        <w:t xml:space="preserve"> – “par”</w:t>
      </w:r>
    </w:p>
    <w:p w14:paraId="0A2704B2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T.Kraševska</w:t>
      </w:r>
      <w:proofErr w:type="spellEnd"/>
      <w:r>
        <w:t xml:space="preserve"> – “par”</w:t>
      </w:r>
    </w:p>
    <w:p w14:paraId="1D26D6C9" w14:textId="41079E9B" w:rsid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 w:rsidR="00112C40">
        <w:rPr>
          <w:i/>
          <w:iCs/>
        </w:rPr>
        <w:t>6</w:t>
      </w:r>
      <w:r w:rsidRPr="009B36C8">
        <w:rPr>
          <w:i/>
          <w:iCs/>
        </w:rPr>
        <w:t xml:space="preserve"> (</w:t>
      </w:r>
      <w:r w:rsidR="00112C40">
        <w:rPr>
          <w:i/>
          <w:iCs/>
        </w:rPr>
        <w:t>sešas</w:t>
      </w:r>
      <w:r w:rsidRPr="009B36C8">
        <w:rPr>
          <w:i/>
          <w:iCs/>
        </w:rPr>
        <w:t>) balsis “par”, “pret” – nav, „atturas” – nav.</w:t>
      </w:r>
    </w:p>
    <w:p w14:paraId="621AB922" w14:textId="77777777" w:rsidR="009B36C8" w:rsidRP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</w:p>
    <w:p w14:paraId="3159F046" w14:textId="3870479C" w:rsidR="00276C19" w:rsidRPr="004455C1" w:rsidRDefault="00723104" w:rsidP="00153F06">
      <w:pPr>
        <w:pStyle w:val="Pamatteksts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 xml:space="preserve">Sēde paziņota par slēgtu plkst. </w:t>
      </w:r>
      <w:r w:rsidR="006F5DF7" w:rsidRPr="004455C1">
        <w:rPr>
          <w:color w:val="000000" w:themeColor="text1"/>
        </w:rPr>
        <w:t>09</w:t>
      </w:r>
      <w:r w:rsidR="00EB46B2" w:rsidRPr="004455C1">
        <w:rPr>
          <w:color w:val="000000" w:themeColor="text1"/>
        </w:rPr>
        <w:t>:</w:t>
      </w:r>
      <w:r w:rsidR="00194777">
        <w:rPr>
          <w:color w:val="000000" w:themeColor="text1"/>
        </w:rPr>
        <w:t>00</w:t>
      </w:r>
    </w:p>
    <w:p w14:paraId="65E9B3E1" w14:textId="77777777" w:rsidR="009B36C8" w:rsidRPr="006479AF" w:rsidRDefault="009B36C8" w:rsidP="00153F06">
      <w:pPr>
        <w:pStyle w:val="Pamatteksts"/>
        <w:spacing w:before="120"/>
        <w:ind w:left="222"/>
        <w:jc w:val="both"/>
      </w:pPr>
    </w:p>
    <w:p w14:paraId="62638146" w14:textId="12AC2979" w:rsidR="00276C19" w:rsidRPr="006479AF" w:rsidRDefault="00723104" w:rsidP="00153F06">
      <w:pPr>
        <w:pStyle w:val="Pamatteksts"/>
        <w:spacing w:before="120"/>
        <w:ind w:left="222"/>
      </w:pPr>
      <w:r w:rsidRPr="006479AF">
        <w:t xml:space="preserve">Protokols ir sastādīts uz </w:t>
      </w:r>
      <w:r w:rsidR="009B36C8">
        <w:t>2</w:t>
      </w:r>
      <w:r w:rsidR="006F5DF7">
        <w:t xml:space="preserve"> lp</w:t>
      </w:r>
      <w:r w:rsidR="00C559B2">
        <w:t>p</w:t>
      </w:r>
      <w:r w:rsidR="006F5DF7">
        <w:t>.</w:t>
      </w:r>
    </w:p>
    <w:p w14:paraId="1E633E16" w14:textId="77777777" w:rsidR="00276C19" w:rsidRPr="006479AF" w:rsidRDefault="00276C19" w:rsidP="00F65DD7">
      <w:pPr>
        <w:pStyle w:val="Pamatteksts"/>
        <w:spacing w:before="9"/>
      </w:pPr>
    </w:p>
    <w:p w14:paraId="60519BCB" w14:textId="77777777" w:rsidR="00276C19" w:rsidRPr="006479AF" w:rsidRDefault="00276C19" w:rsidP="00F65DD7">
      <w:pPr>
        <w:sectPr w:rsidR="00276C19" w:rsidRPr="006479AF" w:rsidSect="006479AF">
          <w:footerReference w:type="default" r:id="rId9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2C34281F" w14:textId="77777777" w:rsidR="006E7640" w:rsidRPr="00C34502" w:rsidRDefault="006E7640" w:rsidP="006E7640">
      <w:pPr>
        <w:pStyle w:val="Pamatteksts"/>
        <w:spacing w:before="92"/>
        <w:ind w:firstLine="222"/>
      </w:pPr>
      <w:r w:rsidRPr="00C34502">
        <w:t>Sēdes dalībnieki:</w:t>
      </w:r>
    </w:p>
    <w:p w14:paraId="67F3F5B7" w14:textId="77777777" w:rsidR="006E7640" w:rsidRPr="00C34502" w:rsidRDefault="006E7640" w:rsidP="006E7640">
      <w:pPr>
        <w:pStyle w:val="Pamatteksts"/>
        <w:spacing w:before="2"/>
      </w:pPr>
      <w:r w:rsidRPr="00C34502">
        <w:br w:type="column"/>
      </w:r>
    </w:p>
    <w:p w14:paraId="15266020" w14:textId="411146C2" w:rsidR="006E7640" w:rsidRPr="00C34502" w:rsidRDefault="00194777" w:rsidP="006E7640">
      <w:pPr>
        <w:pStyle w:val="Pamatteksts"/>
        <w:spacing w:line="388" w:lineRule="auto"/>
        <w:ind w:left="426" w:right="1922"/>
      </w:pPr>
      <w:proofErr w:type="spellStart"/>
      <w:r>
        <w:t>R.Vavilova</w:t>
      </w:r>
      <w:proofErr w:type="spellEnd"/>
    </w:p>
    <w:p w14:paraId="7C425BA7" w14:textId="790A13F2" w:rsidR="006E7640" w:rsidRDefault="00C559B2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V.Loginovs</w:t>
      </w:r>
      <w:proofErr w:type="spellEnd"/>
    </w:p>
    <w:p w14:paraId="28B6BD05" w14:textId="77777777" w:rsidR="00194777" w:rsidRDefault="00194777" w:rsidP="006E7640">
      <w:pPr>
        <w:pStyle w:val="Pamatteksts"/>
        <w:spacing w:before="4" w:line="388" w:lineRule="auto"/>
        <w:ind w:left="581" w:right="1763" w:hanging="155"/>
      </w:pPr>
      <w:proofErr w:type="spellStart"/>
      <w:r w:rsidRPr="00194777">
        <w:t>O.Daļecka</w:t>
      </w:r>
      <w:proofErr w:type="spellEnd"/>
    </w:p>
    <w:p w14:paraId="0BE66352" w14:textId="3E9B3389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M.Liniņa</w:t>
      </w:r>
      <w:proofErr w:type="spellEnd"/>
    </w:p>
    <w:p w14:paraId="6314ECA7" w14:textId="282F1E3F" w:rsidR="00112C40" w:rsidRDefault="00112C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I.Trifonova</w:t>
      </w:r>
      <w:proofErr w:type="spellEnd"/>
    </w:p>
    <w:p w14:paraId="7620B5F3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T.Kraševska</w:t>
      </w:r>
      <w:proofErr w:type="spellEnd"/>
    </w:p>
    <w:p w14:paraId="5FF11261" w14:textId="77777777" w:rsidR="006E7640" w:rsidRPr="00C34502" w:rsidRDefault="006E7640" w:rsidP="006E7640">
      <w:pPr>
        <w:spacing w:line="388" w:lineRule="auto"/>
        <w:sectPr w:rsidR="006E7640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3E5AEAAE" w14:textId="77777777" w:rsidR="006E7640" w:rsidRPr="00C34502" w:rsidRDefault="006E7640" w:rsidP="006E7640">
      <w:pPr>
        <w:pStyle w:val="Pamatteksts"/>
        <w:spacing w:before="10"/>
      </w:pPr>
    </w:p>
    <w:p w14:paraId="6A4712EC" w14:textId="5F0AEDCC" w:rsidR="00111725" w:rsidRPr="006479AF" w:rsidRDefault="006E7640" w:rsidP="00D46A66">
      <w:pPr>
        <w:pStyle w:val="Pamatteksts"/>
        <w:tabs>
          <w:tab w:val="left" w:pos="6743"/>
        </w:tabs>
        <w:spacing w:before="92"/>
      </w:pPr>
      <w:r>
        <w:t xml:space="preserve">     Protokolē:                                                                                              </w:t>
      </w:r>
      <w:proofErr w:type="spellStart"/>
      <w:r>
        <w:t>T.Kraševska</w:t>
      </w:r>
      <w:proofErr w:type="spellEnd"/>
    </w:p>
    <w:sectPr w:rsidR="00111725" w:rsidRPr="006479AF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370E" w14:textId="77777777" w:rsidR="00A124BB" w:rsidRDefault="00A124BB" w:rsidP="001C2EB8">
      <w:r>
        <w:separator/>
      </w:r>
    </w:p>
  </w:endnote>
  <w:endnote w:type="continuationSeparator" w:id="0">
    <w:p w14:paraId="7FD7625A" w14:textId="77777777" w:rsidR="00A124BB" w:rsidRDefault="00A124BB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Content>
      <w:p w14:paraId="6D6352C7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66B95E8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967A" w14:textId="77777777" w:rsidR="00A124BB" w:rsidRDefault="00A124BB" w:rsidP="001C2EB8">
      <w:r>
        <w:separator/>
      </w:r>
    </w:p>
  </w:footnote>
  <w:footnote w:type="continuationSeparator" w:id="0">
    <w:p w14:paraId="31D08AAB" w14:textId="77777777" w:rsidR="00A124BB" w:rsidRDefault="00A124BB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663001404">
    <w:abstractNumId w:val="3"/>
  </w:num>
  <w:num w:numId="2" w16cid:durableId="562177363">
    <w:abstractNumId w:val="12"/>
  </w:num>
  <w:num w:numId="3" w16cid:durableId="1154641324">
    <w:abstractNumId w:val="9"/>
  </w:num>
  <w:num w:numId="4" w16cid:durableId="692002037">
    <w:abstractNumId w:val="10"/>
  </w:num>
  <w:num w:numId="5" w16cid:durableId="1048797144">
    <w:abstractNumId w:val="7"/>
  </w:num>
  <w:num w:numId="6" w16cid:durableId="266041109">
    <w:abstractNumId w:val="2"/>
  </w:num>
  <w:num w:numId="7" w16cid:durableId="2013408798">
    <w:abstractNumId w:val="8"/>
  </w:num>
  <w:num w:numId="8" w16cid:durableId="1237517154">
    <w:abstractNumId w:val="1"/>
  </w:num>
  <w:num w:numId="9" w16cid:durableId="1950428136">
    <w:abstractNumId w:val="0"/>
  </w:num>
  <w:num w:numId="10" w16cid:durableId="867646091">
    <w:abstractNumId w:val="5"/>
  </w:num>
  <w:num w:numId="11" w16cid:durableId="2136486280">
    <w:abstractNumId w:val="4"/>
  </w:num>
  <w:num w:numId="12" w16cid:durableId="382367546">
    <w:abstractNumId w:val="11"/>
  </w:num>
  <w:num w:numId="13" w16cid:durableId="486748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77AC"/>
    <w:rsid w:val="000112DF"/>
    <w:rsid w:val="00015269"/>
    <w:rsid w:val="00020D8A"/>
    <w:rsid w:val="00024586"/>
    <w:rsid w:val="00041B15"/>
    <w:rsid w:val="000437DF"/>
    <w:rsid w:val="00045E41"/>
    <w:rsid w:val="000723CC"/>
    <w:rsid w:val="000A3407"/>
    <w:rsid w:val="000B2980"/>
    <w:rsid w:val="000F44FF"/>
    <w:rsid w:val="000F651A"/>
    <w:rsid w:val="00111725"/>
    <w:rsid w:val="00112C40"/>
    <w:rsid w:val="00131667"/>
    <w:rsid w:val="001344AE"/>
    <w:rsid w:val="00146074"/>
    <w:rsid w:val="0015325E"/>
    <w:rsid w:val="00153F06"/>
    <w:rsid w:val="001674E6"/>
    <w:rsid w:val="00186D47"/>
    <w:rsid w:val="00187278"/>
    <w:rsid w:val="00190938"/>
    <w:rsid w:val="00192479"/>
    <w:rsid w:val="00194777"/>
    <w:rsid w:val="001C2EB8"/>
    <w:rsid w:val="001D1F18"/>
    <w:rsid w:val="00204016"/>
    <w:rsid w:val="00206EF2"/>
    <w:rsid w:val="00210DF1"/>
    <w:rsid w:val="00213FC8"/>
    <w:rsid w:val="00214A3A"/>
    <w:rsid w:val="00222F0B"/>
    <w:rsid w:val="00226E19"/>
    <w:rsid w:val="00231F98"/>
    <w:rsid w:val="00237178"/>
    <w:rsid w:val="002511A7"/>
    <w:rsid w:val="002540BA"/>
    <w:rsid w:val="002560AF"/>
    <w:rsid w:val="00260113"/>
    <w:rsid w:val="00276C19"/>
    <w:rsid w:val="00283327"/>
    <w:rsid w:val="002A0F5B"/>
    <w:rsid w:val="002A198C"/>
    <w:rsid w:val="002B4303"/>
    <w:rsid w:val="002C0E34"/>
    <w:rsid w:val="002D2DBF"/>
    <w:rsid w:val="002E069D"/>
    <w:rsid w:val="002F453A"/>
    <w:rsid w:val="00301CBD"/>
    <w:rsid w:val="0030743F"/>
    <w:rsid w:val="00325A35"/>
    <w:rsid w:val="003337F4"/>
    <w:rsid w:val="00341E25"/>
    <w:rsid w:val="0034266A"/>
    <w:rsid w:val="00354CBF"/>
    <w:rsid w:val="00373DD1"/>
    <w:rsid w:val="00381DCB"/>
    <w:rsid w:val="003978A9"/>
    <w:rsid w:val="00397CEB"/>
    <w:rsid w:val="003C20D0"/>
    <w:rsid w:val="003D0BD1"/>
    <w:rsid w:val="00403008"/>
    <w:rsid w:val="00410EDA"/>
    <w:rsid w:val="004455C1"/>
    <w:rsid w:val="00450532"/>
    <w:rsid w:val="00450D02"/>
    <w:rsid w:val="004550CF"/>
    <w:rsid w:val="004677E2"/>
    <w:rsid w:val="004A5C13"/>
    <w:rsid w:val="004A65BC"/>
    <w:rsid w:val="004B2B5D"/>
    <w:rsid w:val="004C5755"/>
    <w:rsid w:val="004E4825"/>
    <w:rsid w:val="004E7687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5ACF"/>
    <w:rsid w:val="00582AF4"/>
    <w:rsid w:val="005A4F8D"/>
    <w:rsid w:val="00601966"/>
    <w:rsid w:val="00603A77"/>
    <w:rsid w:val="00622682"/>
    <w:rsid w:val="006479AF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B3CEF"/>
    <w:rsid w:val="007C342D"/>
    <w:rsid w:val="007D4A4E"/>
    <w:rsid w:val="0081459D"/>
    <w:rsid w:val="0085592C"/>
    <w:rsid w:val="00896BD1"/>
    <w:rsid w:val="008D2DAA"/>
    <w:rsid w:val="008E4A94"/>
    <w:rsid w:val="008F481F"/>
    <w:rsid w:val="008F50C0"/>
    <w:rsid w:val="00911149"/>
    <w:rsid w:val="00926DDD"/>
    <w:rsid w:val="00950009"/>
    <w:rsid w:val="009570F1"/>
    <w:rsid w:val="009820C0"/>
    <w:rsid w:val="009A6189"/>
    <w:rsid w:val="009A6D18"/>
    <w:rsid w:val="009B36C8"/>
    <w:rsid w:val="00A05FD8"/>
    <w:rsid w:val="00A1032D"/>
    <w:rsid w:val="00A124BB"/>
    <w:rsid w:val="00A20C9A"/>
    <w:rsid w:val="00A3416F"/>
    <w:rsid w:val="00A445A1"/>
    <w:rsid w:val="00A52DDF"/>
    <w:rsid w:val="00A609D3"/>
    <w:rsid w:val="00A62401"/>
    <w:rsid w:val="00A75F15"/>
    <w:rsid w:val="00A82DDC"/>
    <w:rsid w:val="00AA0305"/>
    <w:rsid w:val="00AA4921"/>
    <w:rsid w:val="00AC1D7C"/>
    <w:rsid w:val="00AC2E3F"/>
    <w:rsid w:val="00AC7AE5"/>
    <w:rsid w:val="00AE029A"/>
    <w:rsid w:val="00AE4FA4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59B2"/>
    <w:rsid w:val="00C6504F"/>
    <w:rsid w:val="00C82FE3"/>
    <w:rsid w:val="00C903D9"/>
    <w:rsid w:val="00C90E11"/>
    <w:rsid w:val="00D014F0"/>
    <w:rsid w:val="00D07975"/>
    <w:rsid w:val="00D12386"/>
    <w:rsid w:val="00D17D0A"/>
    <w:rsid w:val="00D24506"/>
    <w:rsid w:val="00D27A2F"/>
    <w:rsid w:val="00D31CB0"/>
    <w:rsid w:val="00D46A66"/>
    <w:rsid w:val="00D8345C"/>
    <w:rsid w:val="00DA69FA"/>
    <w:rsid w:val="00DC2887"/>
    <w:rsid w:val="00DD01CB"/>
    <w:rsid w:val="00E47BFF"/>
    <w:rsid w:val="00E51ECE"/>
    <w:rsid w:val="00E726E7"/>
    <w:rsid w:val="00EA1880"/>
    <w:rsid w:val="00EA60C1"/>
    <w:rsid w:val="00EB2622"/>
    <w:rsid w:val="00EB46B2"/>
    <w:rsid w:val="00EB7488"/>
    <w:rsid w:val="00ED20EC"/>
    <w:rsid w:val="00F04F09"/>
    <w:rsid w:val="00F55855"/>
    <w:rsid w:val="00F61DB2"/>
    <w:rsid w:val="00F6208B"/>
    <w:rsid w:val="00F65DD7"/>
    <w:rsid w:val="00F76918"/>
    <w:rsid w:val="00FA4521"/>
    <w:rsid w:val="00FA62F3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s.gov.lv/bisp/lv/specialist_certific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2407</Words>
  <Characters>1372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Tatjana Kraševska</cp:lastModifiedBy>
  <cp:revision>15</cp:revision>
  <cp:lastPrinted>2022-09-21T10:43:00Z</cp:lastPrinted>
  <dcterms:created xsi:type="dcterms:W3CDTF">2022-05-27T08:17:00Z</dcterms:created>
  <dcterms:modified xsi:type="dcterms:W3CDTF">2022-09-21T10:43:00Z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