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1F017F74" w14:textId="09A04217" w:rsidR="00E637C3" w:rsidRPr="006479AF" w:rsidRDefault="00723104" w:rsidP="003A50BB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 xml:space="preserve">Vienības iela 8, Daugavpils, LV </w:t>
      </w:r>
      <w:r w:rsidR="00E637C3">
        <w:t>–</w:t>
      </w:r>
      <w:r w:rsidRPr="006479AF">
        <w:t xml:space="preserve">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5B774E76" w14:textId="77777777" w:rsidR="00A1373D" w:rsidRDefault="00A1373D" w:rsidP="002F1561">
      <w:pPr>
        <w:pStyle w:val="Pamatteksts"/>
        <w:ind w:right="66"/>
        <w:jc w:val="center"/>
        <w:rPr>
          <w:b/>
        </w:rPr>
      </w:pPr>
      <w:bookmarkStart w:id="0" w:name="_Hlk117247866"/>
      <w:r w:rsidRPr="00A1373D">
        <w:rPr>
          <w:b/>
        </w:rPr>
        <w:t>“Inženiertehnisko sistēmu apkopes pakalpojuma sniegšana “Daugavpils pilsētas pašvaldības iestādei “Sociālais dienests””, ID Nr. DPPISD 2022/42</w:t>
      </w:r>
      <w:r w:rsidRPr="00A1373D">
        <w:rPr>
          <w:b/>
        </w:rPr>
        <w:t xml:space="preserve"> </w:t>
      </w:r>
    </w:p>
    <w:bookmarkEnd w:id="0"/>
    <w:p w14:paraId="686E9190" w14:textId="16720341" w:rsidR="00276C19" w:rsidRDefault="00723104" w:rsidP="002F1561">
      <w:pPr>
        <w:pStyle w:val="Pamatteksts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2F1561">
        <w:t>4</w:t>
      </w:r>
      <w:r w:rsidR="00A1373D">
        <w:t>2</w:t>
      </w:r>
      <w:r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Pr="00531349" w:rsidRDefault="00B51E7B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6479AF">
        <w:t xml:space="preserve"> </w:t>
      </w:r>
    </w:p>
    <w:p w14:paraId="62B6EDFA" w14:textId="2EA32538" w:rsidR="00276C19" w:rsidRPr="00DE11A4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531349">
        <w:rPr>
          <w:color w:val="000000" w:themeColor="text1"/>
        </w:rPr>
        <w:t xml:space="preserve"> </w:t>
      </w:r>
      <w:r w:rsidR="00723104" w:rsidRPr="00531349">
        <w:rPr>
          <w:color w:val="000000" w:themeColor="text1"/>
        </w:rPr>
        <w:t>20</w:t>
      </w:r>
      <w:r w:rsidR="00A3416F" w:rsidRPr="00531349">
        <w:rPr>
          <w:color w:val="000000" w:themeColor="text1"/>
        </w:rPr>
        <w:t>2</w:t>
      </w:r>
      <w:r w:rsidR="00603A77" w:rsidRPr="00531349">
        <w:rPr>
          <w:color w:val="000000" w:themeColor="text1"/>
        </w:rPr>
        <w:t>2</w:t>
      </w:r>
      <w:r w:rsidR="00723104" w:rsidRPr="00531349">
        <w:rPr>
          <w:color w:val="000000" w:themeColor="text1"/>
        </w:rPr>
        <w:t>.gada</w:t>
      </w:r>
      <w:r w:rsidR="00723104" w:rsidRPr="00531349">
        <w:rPr>
          <w:color w:val="000000" w:themeColor="text1"/>
          <w:spacing w:val="-1"/>
        </w:rPr>
        <w:t xml:space="preserve"> </w:t>
      </w:r>
      <w:r w:rsidR="00A1373D">
        <w:rPr>
          <w:color w:val="000000" w:themeColor="text1"/>
          <w:spacing w:val="-1"/>
        </w:rPr>
        <w:t>21</w:t>
      </w:r>
      <w:r w:rsidR="002F1561">
        <w:rPr>
          <w:color w:val="000000" w:themeColor="text1"/>
          <w:spacing w:val="-1"/>
        </w:rPr>
        <w:t>.oktobrī</w:t>
      </w:r>
      <w:r w:rsidR="00A3416F" w:rsidRPr="00531349">
        <w:rPr>
          <w:color w:val="000000" w:themeColor="text1"/>
        </w:rPr>
        <w:tab/>
      </w:r>
      <w:r w:rsidR="00A3416F" w:rsidRPr="002F1561">
        <w:rPr>
          <w:color w:val="FF0000"/>
        </w:rPr>
        <w:t xml:space="preserve"> </w:t>
      </w:r>
      <w:r w:rsidR="00723104" w:rsidRPr="00DE11A4">
        <w:rPr>
          <w:color w:val="000000" w:themeColor="text1"/>
        </w:rPr>
        <w:t>Nr.</w:t>
      </w:r>
      <w:r w:rsidR="00531349" w:rsidRPr="00DE11A4">
        <w:rPr>
          <w:color w:val="000000" w:themeColor="text1"/>
        </w:rPr>
        <w:t xml:space="preserve"> 2.-4.3/</w:t>
      </w:r>
      <w:r w:rsidR="00A1373D">
        <w:rPr>
          <w:color w:val="000000" w:themeColor="text1"/>
        </w:rPr>
        <w:t>40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3B64BF1D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2F1561">
        <w:rPr>
          <w:color w:val="000000" w:themeColor="text1"/>
        </w:rPr>
        <w:t>1</w:t>
      </w:r>
      <w:r w:rsidR="00A1373D">
        <w:rPr>
          <w:color w:val="000000" w:themeColor="text1"/>
        </w:rPr>
        <w:t>0</w:t>
      </w:r>
      <w:r w:rsidR="002F1561">
        <w:rPr>
          <w:color w:val="000000" w:themeColor="text1"/>
        </w:rPr>
        <w:t>:</w:t>
      </w:r>
      <w:r w:rsidR="00A1373D">
        <w:rPr>
          <w:color w:val="000000" w:themeColor="text1"/>
        </w:rPr>
        <w:t>3</w:t>
      </w:r>
      <w:r w:rsidR="002F1561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A1373D" w:rsidRPr="00EB46B2" w14:paraId="54BB496F" w14:textId="77777777" w:rsidTr="00CF2D4F">
        <w:trPr>
          <w:trHeight w:val="575"/>
        </w:trPr>
        <w:tc>
          <w:tcPr>
            <w:tcW w:w="3306" w:type="dxa"/>
          </w:tcPr>
          <w:p w14:paraId="315AA937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7E1A5EFF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R.Vavilova</w:t>
            </w:r>
            <w:r w:rsidRPr="00EB46B2">
              <w:t xml:space="preserve"> – </w:t>
            </w:r>
            <w:r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A1373D" w:rsidRPr="00EB46B2" w14:paraId="215DDF49" w14:textId="77777777" w:rsidTr="00CF2D4F">
        <w:trPr>
          <w:trHeight w:val="262"/>
        </w:trPr>
        <w:tc>
          <w:tcPr>
            <w:tcW w:w="3306" w:type="dxa"/>
          </w:tcPr>
          <w:p w14:paraId="2FFCF746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6A70B01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A1373D" w:rsidRPr="00EB46B2" w14:paraId="089930F6" w14:textId="77777777" w:rsidTr="00CF2D4F">
        <w:trPr>
          <w:trHeight w:val="251"/>
        </w:trPr>
        <w:tc>
          <w:tcPr>
            <w:tcW w:w="3306" w:type="dxa"/>
          </w:tcPr>
          <w:p w14:paraId="294BB6A8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58AB1B47" w14:textId="77777777" w:rsidR="00A1373D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  <w:p w14:paraId="3742613D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24676B">
              <w:rPr>
                <w:b/>
                <w:bCs/>
                <w:color w:val="000000" w:themeColor="text1"/>
              </w:rPr>
              <w:t>E.Hrapāne</w:t>
            </w:r>
            <w:r>
              <w:rPr>
                <w:color w:val="000000" w:themeColor="text1"/>
              </w:rPr>
              <w:t xml:space="preserve"> </w:t>
            </w:r>
            <w:r w:rsidRPr="00EB46B2">
              <w:rPr>
                <w:color w:val="000000" w:themeColor="text1"/>
              </w:rPr>
              <w:t>– Dienesta Juridiskā sektora juriskonsulte,</w:t>
            </w:r>
          </w:p>
        </w:tc>
      </w:tr>
      <w:tr w:rsidR="00A1373D" w:rsidRPr="00EB46B2" w14:paraId="1E516782" w14:textId="77777777" w:rsidTr="00CF2D4F">
        <w:trPr>
          <w:trHeight w:val="246"/>
        </w:trPr>
        <w:tc>
          <w:tcPr>
            <w:tcW w:w="3306" w:type="dxa"/>
          </w:tcPr>
          <w:p w14:paraId="77F81200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2D77287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A1373D" w:rsidRPr="00EB46B2" w14:paraId="439BFF0C" w14:textId="77777777" w:rsidTr="00CF2D4F">
        <w:trPr>
          <w:trHeight w:val="246"/>
        </w:trPr>
        <w:tc>
          <w:tcPr>
            <w:tcW w:w="3306" w:type="dxa"/>
          </w:tcPr>
          <w:p w14:paraId="33FC9E20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D4B0F6F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A1373D" w:rsidRPr="00EB46B2" w14:paraId="7A9B206A" w14:textId="77777777" w:rsidTr="00CF2D4F">
        <w:trPr>
          <w:trHeight w:val="259"/>
        </w:trPr>
        <w:tc>
          <w:tcPr>
            <w:tcW w:w="3306" w:type="dxa"/>
          </w:tcPr>
          <w:p w14:paraId="52945496" w14:textId="77777777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288C4C" w14:textId="6591CB1E" w:rsidR="00A1373D" w:rsidRPr="00EB46B2" w:rsidRDefault="00A1373D" w:rsidP="00CF2D4F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T.Kraševska</w:t>
            </w:r>
            <w:r w:rsidRPr="00EB46B2">
              <w:rPr>
                <w:color w:val="000000" w:themeColor="text1"/>
              </w:rPr>
              <w:t xml:space="preserve"> – Dienesta Juridiskā sektora juriskonsulte</w:t>
            </w:r>
          </w:p>
        </w:tc>
      </w:tr>
    </w:tbl>
    <w:p w14:paraId="75DF4084" w14:textId="39855E72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r w:rsidRPr="000A6742">
        <w:rPr>
          <w:bCs/>
        </w:rPr>
        <w:t>T.Kraševska.</w:t>
      </w:r>
    </w:p>
    <w:p w14:paraId="05D71474" w14:textId="2CCEE230" w:rsidR="00A05FD8" w:rsidRPr="00631090" w:rsidRDefault="00723104" w:rsidP="00631090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24676B" w:rsidRPr="0024676B">
        <w:t>Piedāvājumu atvēršana un novērtēšana.</w:t>
      </w:r>
    </w:p>
    <w:p w14:paraId="67134A1D" w14:textId="000FB923" w:rsidR="0024676B" w:rsidRPr="007F1114" w:rsidRDefault="002F1561" w:rsidP="0024676B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V.Loginovs</w:t>
      </w:r>
      <w:r w:rsidR="0024676B" w:rsidRPr="00C34502">
        <w:t xml:space="preserve"> paziņo, ka Dienesta mājas lapā </w:t>
      </w:r>
      <w:hyperlink r:id="rId7">
        <w:r w:rsidR="0024676B" w:rsidRPr="007F1114">
          <w:rPr>
            <w:u w:val="single"/>
          </w:rPr>
          <w:t>www.socd.lv</w:t>
        </w:r>
      </w:hyperlink>
      <w:r w:rsidR="0024676B" w:rsidRPr="009C586C">
        <w:t xml:space="preserve"> </w:t>
      </w:r>
      <w:r w:rsidR="00A1373D">
        <w:t xml:space="preserve">un Daugavpils pilsētas pašvaldības mājas lapā </w:t>
      </w:r>
      <w:hyperlink r:id="rId8" w:history="1">
        <w:r w:rsidR="00A1373D" w:rsidRPr="00B5335A">
          <w:rPr>
            <w:rStyle w:val="Hipersaite"/>
          </w:rPr>
          <w:t>www.daugavpils.lv</w:t>
        </w:r>
      </w:hyperlink>
      <w:r w:rsidR="00A1373D">
        <w:t xml:space="preserve"> </w:t>
      </w:r>
      <w:r w:rsidR="0024676B" w:rsidRPr="00C34502">
        <w:t>20</w:t>
      </w:r>
      <w:r w:rsidR="0024676B">
        <w:t>22</w:t>
      </w:r>
      <w:r w:rsidR="0024676B" w:rsidRPr="00C34502">
        <w:t xml:space="preserve">.gada </w:t>
      </w:r>
      <w:r w:rsidR="00A1373D">
        <w:t>17</w:t>
      </w:r>
      <w:r>
        <w:t>.oktobrī</w:t>
      </w:r>
      <w:r w:rsidR="0024676B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24676B">
        <w:t>22</w:t>
      </w:r>
      <w:r w:rsidR="0024676B" w:rsidRPr="00C34502">
        <w:t xml:space="preserve">.gada </w:t>
      </w:r>
      <w:r w:rsidR="00A1373D">
        <w:t>21</w:t>
      </w:r>
      <w:r>
        <w:t>.oktobrim</w:t>
      </w:r>
      <w:r w:rsidR="0024676B" w:rsidRPr="00C34502">
        <w:t>, plkst.</w:t>
      </w:r>
      <w:r w:rsidR="0024676B">
        <w:t>1</w:t>
      </w:r>
      <w:r>
        <w:t>0</w:t>
      </w:r>
      <w:r w:rsidR="0024676B" w:rsidRPr="00C34502">
        <w:t xml:space="preserve">:00. Saskaņā ar ziņojuma </w:t>
      </w:r>
      <w:r>
        <w:t>10</w:t>
      </w:r>
      <w:r w:rsidR="0024676B" w:rsidRPr="00C34502">
        <w:t xml:space="preserve">.punktu vērtēšanas kritērijs ir </w:t>
      </w:r>
      <w:r w:rsidR="0024676B" w:rsidRPr="007F1114">
        <w:t>piedāvājums</w:t>
      </w:r>
      <w:r w:rsidR="00473EB4">
        <w:t xml:space="preserve"> ar viszemāko cenu</w:t>
      </w:r>
      <w:r w:rsidR="00A1373D">
        <w:t xml:space="preserve"> </w:t>
      </w:r>
      <w:r w:rsidR="00A1373D" w:rsidRPr="00A1373D">
        <w:t>(kopējā summa par visu objektu ikmēneša apkopi 12 mēnešu periodā ar PVN)</w:t>
      </w:r>
      <w:r w:rsidR="0024676B" w:rsidRPr="007F1114">
        <w:t>, kas atbilst ziņojumā minētajām prasībām.</w:t>
      </w:r>
    </w:p>
    <w:p w14:paraId="0ED7024A" w14:textId="4CA03DA7" w:rsidR="00A1373D" w:rsidRPr="00A1373D" w:rsidRDefault="0024676B" w:rsidP="00A1373D">
      <w:pPr>
        <w:pStyle w:val="Sarakstarindkopa"/>
        <w:numPr>
          <w:ilvl w:val="0"/>
          <w:numId w:val="1"/>
        </w:numPr>
        <w:tabs>
          <w:tab w:val="left" w:pos="567"/>
        </w:tabs>
        <w:spacing w:before="158" w:line="276" w:lineRule="auto"/>
        <w:ind w:left="284" w:right="0" w:hanging="142"/>
        <w:rPr>
          <w:b/>
          <w:bCs/>
          <w:color w:val="000000" w:themeColor="text1"/>
        </w:rPr>
      </w:pPr>
      <w:r w:rsidRPr="00A1373D">
        <w:rPr>
          <w:color w:val="000000" w:themeColor="text1"/>
        </w:rPr>
        <w:t xml:space="preserve">Savu piedāvājumu iesniedza </w:t>
      </w:r>
      <w:r w:rsidR="00A1373D" w:rsidRPr="00A1373D">
        <w:rPr>
          <w:color w:val="000000" w:themeColor="text1"/>
        </w:rPr>
        <w:t>3</w:t>
      </w:r>
      <w:r w:rsidRPr="00A1373D">
        <w:rPr>
          <w:color w:val="000000" w:themeColor="text1"/>
        </w:rPr>
        <w:t xml:space="preserve"> (</w:t>
      </w:r>
      <w:r w:rsidR="00A1373D" w:rsidRPr="00A1373D">
        <w:rPr>
          <w:color w:val="000000" w:themeColor="text1"/>
        </w:rPr>
        <w:t>trīs</w:t>
      </w:r>
      <w:r w:rsidRPr="00A1373D">
        <w:rPr>
          <w:color w:val="000000" w:themeColor="text1"/>
        </w:rPr>
        <w:t>)</w:t>
      </w:r>
      <w:r w:rsidRPr="00A1373D">
        <w:rPr>
          <w:color w:val="000000" w:themeColor="text1"/>
          <w:spacing w:val="2"/>
        </w:rPr>
        <w:t xml:space="preserve"> </w:t>
      </w:r>
      <w:r w:rsidRPr="00A1373D">
        <w:rPr>
          <w:color w:val="000000" w:themeColor="text1"/>
        </w:rPr>
        <w:t>pretendent</w:t>
      </w:r>
      <w:r w:rsidR="00A1373D" w:rsidRPr="00A1373D">
        <w:rPr>
          <w:color w:val="000000" w:themeColor="text1"/>
        </w:rPr>
        <w:t>i</w:t>
      </w:r>
      <w:r w:rsidRPr="00A1373D">
        <w:rPr>
          <w:color w:val="000000" w:themeColor="text1"/>
        </w:rPr>
        <w:t xml:space="preserve">: </w:t>
      </w:r>
    </w:p>
    <w:tbl>
      <w:tblPr>
        <w:tblStyle w:val="TableNormal"/>
        <w:tblW w:w="88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4006"/>
      </w:tblGrid>
      <w:tr w:rsidR="00A1373D" w:rsidRPr="00C34502" w14:paraId="09EBA9C5" w14:textId="77777777" w:rsidTr="00A1373D">
        <w:trPr>
          <w:trHeight w:val="47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F44F1A" w14:textId="700BD8A0" w:rsidR="00A1373D" w:rsidRPr="00C34502" w:rsidRDefault="00A1373D" w:rsidP="00CF2D4F">
            <w:pPr>
              <w:pStyle w:val="TableParagraph"/>
              <w:spacing w:before="0"/>
              <w:ind w:left="0" w:right="-12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98B7E6C" w14:textId="77777777" w:rsidR="00A1373D" w:rsidRPr="00C34502" w:rsidRDefault="00A1373D" w:rsidP="00CF2D4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377DD751" w14:textId="5F285034" w:rsidR="00A1373D" w:rsidRDefault="00A1373D" w:rsidP="00CF2D4F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Piedāvātā līgumcena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pakalpojuma summa EUR ar PVN</w:t>
            </w:r>
          </w:p>
          <w:p w14:paraId="71BA0F58" w14:textId="77777777" w:rsidR="00A1373D" w:rsidRPr="00C34502" w:rsidRDefault="00A1373D" w:rsidP="00CF2D4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>
              <w:rPr>
                <w:b/>
              </w:rPr>
              <w:t>12 mēnešos</w:t>
            </w:r>
          </w:p>
        </w:tc>
      </w:tr>
      <w:tr w:rsidR="00A1373D" w:rsidRPr="00C34502" w14:paraId="16062BE1" w14:textId="77777777" w:rsidTr="00A1373D">
        <w:trPr>
          <w:trHeight w:val="453"/>
        </w:trPr>
        <w:tc>
          <w:tcPr>
            <w:tcW w:w="851" w:type="dxa"/>
          </w:tcPr>
          <w:p w14:paraId="195A6CAC" w14:textId="2CBFAFB5" w:rsidR="00A1373D" w:rsidRDefault="00A1373D" w:rsidP="00CF2D4F">
            <w:pPr>
              <w:pStyle w:val="TableParagraph"/>
              <w:ind w:left="4" w:right="-12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3D07C732" w14:textId="77777777" w:rsidR="00A1373D" w:rsidRDefault="00A1373D" w:rsidP="00CF2D4F">
            <w:pPr>
              <w:pStyle w:val="TableParagraph"/>
              <w:spacing w:before="0"/>
              <w:ind w:left="4" w:right="-12"/>
            </w:pPr>
            <w:r>
              <w:t>SIA “NORTEKS”</w:t>
            </w:r>
          </w:p>
        </w:tc>
        <w:tc>
          <w:tcPr>
            <w:tcW w:w="4006" w:type="dxa"/>
            <w:vAlign w:val="center"/>
          </w:tcPr>
          <w:p w14:paraId="6E71924B" w14:textId="137E06C0" w:rsidR="00A1373D" w:rsidRDefault="008A0135" w:rsidP="00CF2D4F">
            <w:pPr>
              <w:pStyle w:val="TableParagraph"/>
              <w:spacing w:before="0"/>
              <w:ind w:left="4" w:right="-12"/>
            </w:pPr>
            <w:r>
              <w:t>4477,44</w:t>
            </w:r>
          </w:p>
        </w:tc>
      </w:tr>
      <w:tr w:rsidR="00A1373D" w:rsidRPr="00C34502" w14:paraId="68E3422D" w14:textId="77777777" w:rsidTr="00A1373D">
        <w:trPr>
          <w:trHeight w:val="417"/>
        </w:trPr>
        <w:tc>
          <w:tcPr>
            <w:tcW w:w="851" w:type="dxa"/>
          </w:tcPr>
          <w:p w14:paraId="56E85324" w14:textId="1FEDADE9" w:rsidR="00A1373D" w:rsidRDefault="00A1373D" w:rsidP="00CF2D4F">
            <w:pPr>
              <w:pStyle w:val="TableParagraph"/>
              <w:ind w:left="4" w:right="-12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29CA7E0C" w14:textId="15125862" w:rsidR="00A1373D" w:rsidRDefault="008A0135" w:rsidP="00CF2D4F">
            <w:pPr>
              <w:pStyle w:val="TableParagraph"/>
              <w:spacing w:before="0"/>
              <w:ind w:left="4" w:right="-12"/>
            </w:pPr>
            <w:r>
              <w:t>SIA “Rehill”</w:t>
            </w:r>
          </w:p>
        </w:tc>
        <w:tc>
          <w:tcPr>
            <w:tcW w:w="4006" w:type="dxa"/>
            <w:vAlign w:val="center"/>
          </w:tcPr>
          <w:p w14:paraId="58525066" w14:textId="50C31AEF" w:rsidR="00A1373D" w:rsidRDefault="008A0135" w:rsidP="00CF2D4F">
            <w:pPr>
              <w:pStyle w:val="TableParagraph"/>
              <w:spacing w:before="0"/>
              <w:ind w:left="4" w:right="-12"/>
            </w:pPr>
            <w:r>
              <w:t xml:space="preserve">5372,40 </w:t>
            </w:r>
            <w:r w:rsidRPr="008A0135">
              <w:rPr>
                <w:i/>
                <w:iCs/>
              </w:rPr>
              <w:t>(labota)</w:t>
            </w:r>
          </w:p>
        </w:tc>
      </w:tr>
      <w:tr w:rsidR="00A1373D" w:rsidRPr="00C34502" w14:paraId="07E6A8E0" w14:textId="77777777" w:rsidTr="00A1373D">
        <w:trPr>
          <w:trHeight w:val="409"/>
        </w:trPr>
        <w:tc>
          <w:tcPr>
            <w:tcW w:w="851" w:type="dxa"/>
          </w:tcPr>
          <w:p w14:paraId="3A997DCD" w14:textId="2B3BA585" w:rsidR="00A1373D" w:rsidRDefault="00A1373D" w:rsidP="00CF2D4F">
            <w:pPr>
              <w:pStyle w:val="TableParagraph"/>
              <w:ind w:left="4" w:right="-12"/>
            </w:pPr>
            <w: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7BF9D1" w14:textId="0207D08F" w:rsidR="00A1373D" w:rsidRDefault="008A0135" w:rsidP="00CF2D4F">
            <w:pPr>
              <w:pStyle w:val="TableParagraph"/>
              <w:spacing w:before="0"/>
              <w:ind w:left="4" w:right="-12"/>
            </w:pPr>
            <w:r>
              <w:t>SIA “</w:t>
            </w:r>
            <w:r w:rsidRPr="008A0135">
              <w:t>Daugavpils dzīvokļu un komunālās saimniecības uzņēmums</w:t>
            </w:r>
            <w:r>
              <w:t>”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14:paraId="082B8053" w14:textId="04C50C34" w:rsidR="00A1373D" w:rsidRDefault="008A0135" w:rsidP="00CF2D4F">
            <w:pPr>
              <w:pStyle w:val="TableParagraph"/>
              <w:spacing w:before="0"/>
              <w:ind w:left="4" w:right="-12"/>
            </w:pPr>
            <w:r>
              <w:t>16846,80</w:t>
            </w:r>
          </w:p>
        </w:tc>
      </w:tr>
    </w:tbl>
    <w:p w14:paraId="4B071D1A" w14:textId="77777777" w:rsidR="00A1373D" w:rsidRPr="00A1373D" w:rsidRDefault="00A1373D" w:rsidP="00A1373D">
      <w:pPr>
        <w:tabs>
          <w:tab w:val="left" w:pos="774"/>
        </w:tabs>
        <w:spacing w:before="158" w:line="276" w:lineRule="auto"/>
        <w:rPr>
          <w:b/>
          <w:bCs/>
          <w:color w:val="FF0000"/>
        </w:rPr>
      </w:pPr>
    </w:p>
    <w:p w14:paraId="701EF350" w14:textId="1573DC0D" w:rsidR="0089099F" w:rsidRPr="0089099F" w:rsidRDefault="0089099F" w:rsidP="0089099F">
      <w:pPr>
        <w:pStyle w:val="Sarakstarindkopa"/>
        <w:numPr>
          <w:ilvl w:val="0"/>
          <w:numId w:val="1"/>
        </w:numPr>
        <w:ind w:left="142" w:right="3" w:firstLine="0"/>
        <w:rPr>
          <w:color w:val="000000" w:themeColor="text1"/>
        </w:rPr>
      </w:pPr>
      <w:r w:rsidRPr="0089099F">
        <w:rPr>
          <w:color w:val="000000" w:themeColor="text1"/>
        </w:rPr>
        <w:t>Izvērtējot SIA “NORTEKS” piedāvājumu, komisija konstatēja, ka piedāvājums atbilst ziņojumā minētajām prasībām</w:t>
      </w:r>
      <w:r>
        <w:rPr>
          <w:color w:val="000000" w:themeColor="text1"/>
        </w:rPr>
        <w:t>.</w:t>
      </w:r>
    </w:p>
    <w:p w14:paraId="24668A0E" w14:textId="2B2632A9" w:rsidR="006A4B4D" w:rsidRPr="006A4B4D" w:rsidRDefault="006B51F4" w:rsidP="006A4B4D">
      <w:pPr>
        <w:pStyle w:val="Sarakstarindkopa"/>
        <w:numPr>
          <w:ilvl w:val="0"/>
          <w:numId w:val="1"/>
        </w:numPr>
        <w:ind w:left="142" w:firstLine="0"/>
        <w:rPr>
          <w:color w:val="000000" w:themeColor="text1"/>
        </w:rPr>
      </w:pPr>
      <w:r w:rsidRPr="006A4B4D">
        <w:rPr>
          <w:color w:val="000000" w:themeColor="text1"/>
        </w:rPr>
        <w:lastRenderedPageBreak/>
        <w:t>Izvērtējot SIA “Rehill” piedāvājumu, komisija konstatēja,</w:t>
      </w:r>
      <w:r w:rsidR="006A4B4D" w:rsidRPr="006A4B4D">
        <w:t xml:space="preserve"> </w:t>
      </w:r>
      <w:r w:rsidR="006A4B4D" w:rsidRPr="006A4B4D">
        <w:rPr>
          <w:color w:val="000000" w:themeColor="text1"/>
        </w:rPr>
        <w:t>ka pretendents savā finanšu piedāvājumā ir pieļāvis aritmētisko kļūdu</w:t>
      </w:r>
      <w:r w:rsidR="006A4B4D">
        <w:rPr>
          <w:color w:val="000000" w:themeColor="text1"/>
        </w:rPr>
        <w:t>,</w:t>
      </w:r>
      <w:r w:rsidR="006A4B4D" w:rsidRPr="006A4B4D">
        <w:rPr>
          <w:color w:val="000000" w:themeColor="text1"/>
        </w:rPr>
        <w:t xml:space="preserve"> aprēķinot</w:t>
      </w:r>
      <w:r w:rsidR="006A4B4D">
        <w:rPr>
          <w:color w:val="000000" w:themeColor="text1"/>
        </w:rPr>
        <w:t xml:space="preserve"> pakalpojuma kopējo summu mēnesī EUR bez PVN objektam “Sociālās palīdzības nodaļa, Lāčplēša iela 39, Daugavpils” un visu objektu ikmēneša apkopes </w:t>
      </w:r>
      <w:r w:rsidR="006A4B4D" w:rsidRPr="006A4B4D">
        <w:rPr>
          <w:color w:val="000000" w:themeColor="text1"/>
        </w:rPr>
        <w:t>kopsummu. Komisija veica aritmētiskās kļūdas labojumu un piedāvājuma izvērtēšanā ņēma vērā pareizo visu objektu ikmēneša apkopes kopsummu</w:t>
      </w:r>
      <w:r w:rsidR="006A4B4D">
        <w:rPr>
          <w:color w:val="000000" w:themeColor="text1"/>
        </w:rPr>
        <w:t>– 5372,40</w:t>
      </w:r>
      <w:r w:rsidR="006A4B4D" w:rsidRPr="006A4B4D">
        <w:rPr>
          <w:color w:val="000000" w:themeColor="text1"/>
        </w:rPr>
        <w:t xml:space="preserve"> EUR ar PVN. SIA “Rehill” </w:t>
      </w:r>
      <w:r w:rsidR="006A4B4D">
        <w:rPr>
          <w:color w:val="000000" w:themeColor="text1"/>
        </w:rPr>
        <w:t>p</w:t>
      </w:r>
      <w:r w:rsidR="006A4B4D" w:rsidRPr="006A4B4D">
        <w:rPr>
          <w:color w:val="000000" w:themeColor="text1"/>
        </w:rPr>
        <w:t>iedāvājums atbilst informatīvajā ziņojumā minētajām prasībām, bet pretendenta piedāvātā cena pārsniedz paredzamo līgumcenu.</w:t>
      </w:r>
    </w:p>
    <w:p w14:paraId="293D7CBD" w14:textId="5BDC52C4" w:rsidR="006B51F4" w:rsidRDefault="006B51F4" w:rsidP="006B51F4">
      <w:pPr>
        <w:pStyle w:val="Sarakstarindkopa"/>
        <w:numPr>
          <w:ilvl w:val="0"/>
          <w:numId w:val="1"/>
        </w:numPr>
        <w:ind w:left="142" w:right="3" w:firstLine="0"/>
        <w:rPr>
          <w:color w:val="000000" w:themeColor="text1"/>
        </w:rPr>
      </w:pPr>
      <w:r w:rsidRPr="006B51F4">
        <w:rPr>
          <w:color w:val="000000" w:themeColor="text1"/>
        </w:rPr>
        <w:t xml:space="preserve">Izvērtējot </w:t>
      </w:r>
      <w:r w:rsidR="0089099F" w:rsidRPr="0089099F">
        <w:rPr>
          <w:color w:val="000000" w:themeColor="text1"/>
        </w:rPr>
        <w:t>SIA “Daugavpils dzīvokļu un komunālās saimniecības uzņēmums”</w:t>
      </w:r>
      <w:r w:rsidR="0089099F">
        <w:rPr>
          <w:color w:val="000000" w:themeColor="text1"/>
        </w:rPr>
        <w:t xml:space="preserve"> </w:t>
      </w:r>
      <w:r w:rsidRPr="006B51F4">
        <w:rPr>
          <w:color w:val="000000" w:themeColor="text1"/>
        </w:rPr>
        <w:t>piedāvājumu, komisija konstatēja, ka pretendenta piedāvājums atbilst ziņojumā minētajām prasībām, tomēr piedāvātā cena pārsniedz paredzamo līgumcenu.</w:t>
      </w:r>
    </w:p>
    <w:p w14:paraId="71BE9255" w14:textId="478B22F5" w:rsidR="00DE11A4" w:rsidRPr="0089099F" w:rsidRDefault="0024676B" w:rsidP="0089099F">
      <w:pPr>
        <w:pStyle w:val="Sarakstarindkopa"/>
        <w:numPr>
          <w:ilvl w:val="0"/>
          <w:numId w:val="1"/>
        </w:numPr>
        <w:ind w:left="142" w:right="3" w:firstLine="0"/>
        <w:rPr>
          <w:color w:val="000000" w:themeColor="text1"/>
        </w:rPr>
      </w:pPr>
      <w:r w:rsidRPr="0089099F">
        <w:rPr>
          <w:color w:val="000000" w:themeColor="text1"/>
        </w:rPr>
        <w:t xml:space="preserve">Komisija nolēma piešķirt </w:t>
      </w:r>
      <w:r w:rsidR="006B51F4" w:rsidRPr="0089099F">
        <w:rPr>
          <w:color w:val="000000" w:themeColor="text1"/>
        </w:rPr>
        <w:t>SIA “NORTEKS”</w:t>
      </w:r>
      <w:r w:rsidR="006B51F4" w:rsidRPr="0089099F">
        <w:rPr>
          <w:color w:val="000000" w:themeColor="text1"/>
        </w:rPr>
        <w:t xml:space="preserve"> </w:t>
      </w:r>
      <w:r w:rsidRPr="0089099F">
        <w:rPr>
          <w:color w:val="000000" w:themeColor="text1"/>
        </w:rPr>
        <w:t xml:space="preserve">tiesības noslēgt ar Dienestu līgumu par </w:t>
      </w:r>
      <w:r w:rsidR="006B51F4" w:rsidRPr="0089099F">
        <w:rPr>
          <w:color w:val="000000" w:themeColor="text1"/>
        </w:rPr>
        <w:t>i</w:t>
      </w:r>
      <w:r w:rsidR="006B51F4" w:rsidRPr="0089099F">
        <w:rPr>
          <w:color w:val="000000" w:themeColor="text1"/>
        </w:rPr>
        <w:t>nženiertehnisko sistēmu apkopes pakalpojuma sniegšan</w:t>
      </w:r>
      <w:r w:rsidR="006B51F4" w:rsidRPr="0089099F">
        <w:rPr>
          <w:color w:val="000000" w:themeColor="text1"/>
        </w:rPr>
        <w:t>u.</w:t>
      </w:r>
    </w:p>
    <w:p w14:paraId="43F02363" w14:textId="38E2D97E" w:rsidR="009B36C8" w:rsidRPr="00DE11A4" w:rsidRDefault="009B36C8" w:rsidP="00DE11A4">
      <w:pPr>
        <w:pStyle w:val="Pamatteksts"/>
        <w:tabs>
          <w:tab w:val="left" w:pos="709"/>
        </w:tabs>
        <w:spacing w:before="157"/>
        <w:ind w:left="502"/>
        <w:jc w:val="both"/>
        <w:rPr>
          <w:b/>
          <w:bCs/>
        </w:rPr>
      </w:pPr>
      <w:r w:rsidRPr="00DE11A4">
        <w:rPr>
          <w:b/>
          <w:bCs/>
        </w:rPr>
        <w:t>Balsojums:</w:t>
      </w:r>
    </w:p>
    <w:p w14:paraId="7B38AF65" w14:textId="510559D5" w:rsidR="00A1373D" w:rsidRDefault="00A1373D" w:rsidP="009B36C8">
      <w:pPr>
        <w:pStyle w:val="Pamatteksts"/>
        <w:spacing w:before="157"/>
        <w:ind w:left="502"/>
        <w:jc w:val="both"/>
      </w:pPr>
      <w:r>
        <w:t xml:space="preserve">R.Vavilova </w:t>
      </w:r>
      <w:r>
        <w:t>–  “par”</w:t>
      </w:r>
    </w:p>
    <w:p w14:paraId="4BD95E10" w14:textId="4C628943" w:rsidR="009B36C8" w:rsidRDefault="0030743F" w:rsidP="009B36C8">
      <w:pPr>
        <w:pStyle w:val="Pamatteksts"/>
        <w:spacing w:before="157"/>
        <w:ind w:left="502"/>
        <w:jc w:val="both"/>
      </w:pPr>
      <w:r>
        <w:t>V.Loginovs</w:t>
      </w:r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r>
        <w:t>O.Daļecka</w:t>
      </w:r>
      <w:r w:rsidR="00A20C9A">
        <w:t xml:space="preserve"> </w:t>
      </w:r>
      <w:r w:rsidR="009B36C8">
        <w:t>– “par”</w:t>
      </w:r>
    </w:p>
    <w:p w14:paraId="552E5450" w14:textId="20A3C710" w:rsidR="00112C40" w:rsidRDefault="00112C40" w:rsidP="00112C40">
      <w:pPr>
        <w:pStyle w:val="Pamatteksts"/>
        <w:spacing w:before="157"/>
        <w:ind w:left="502"/>
        <w:jc w:val="both"/>
      </w:pPr>
      <w:r>
        <w:t>I.Trifonova – “par”</w:t>
      </w:r>
    </w:p>
    <w:p w14:paraId="46187945" w14:textId="433FBE5C" w:rsidR="0024676B" w:rsidRDefault="0024676B" w:rsidP="0024676B">
      <w:pPr>
        <w:pStyle w:val="Pamatteksts"/>
        <w:spacing w:before="157"/>
        <w:ind w:left="502"/>
        <w:jc w:val="both"/>
      </w:pPr>
      <w:r>
        <w:t>M.Liniņa – “par”</w:t>
      </w:r>
    </w:p>
    <w:p w14:paraId="2AAEACC6" w14:textId="427EF461" w:rsidR="009B36C8" w:rsidRDefault="0024676B" w:rsidP="009B36C8">
      <w:pPr>
        <w:pStyle w:val="Pamatteksts"/>
        <w:spacing w:before="157"/>
        <w:ind w:left="502"/>
        <w:jc w:val="both"/>
      </w:pPr>
      <w:r>
        <w:t>E.Hrapāne</w:t>
      </w:r>
      <w:r w:rsidR="009B36C8"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r>
        <w:t>T.Kraševska – “par”</w:t>
      </w:r>
    </w:p>
    <w:p w14:paraId="1D26D6C9" w14:textId="276F789D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A1373D">
        <w:rPr>
          <w:i/>
          <w:iCs/>
        </w:rPr>
        <w:t xml:space="preserve">7 </w:t>
      </w:r>
      <w:r w:rsidRPr="009B36C8">
        <w:rPr>
          <w:i/>
          <w:iCs/>
        </w:rPr>
        <w:t>(</w:t>
      </w:r>
      <w:r w:rsidR="00112C40">
        <w:rPr>
          <w:i/>
          <w:iCs/>
        </w:rPr>
        <w:t>se</w:t>
      </w:r>
      <w:r w:rsidR="00A1373D">
        <w:rPr>
          <w:i/>
          <w:iCs/>
        </w:rPr>
        <w:t>ptiņas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7C1CD8E3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2F1561">
        <w:rPr>
          <w:color w:val="000000" w:themeColor="text1"/>
        </w:rPr>
        <w:t>1</w:t>
      </w:r>
      <w:r w:rsidR="00A1373D">
        <w:rPr>
          <w:color w:val="000000" w:themeColor="text1"/>
        </w:rPr>
        <w:t>1</w:t>
      </w:r>
      <w:r w:rsidR="002F1561">
        <w:rPr>
          <w:color w:val="000000" w:themeColor="text1"/>
        </w:rPr>
        <w:t>:</w:t>
      </w:r>
      <w:r w:rsidR="00A1373D">
        <w:rPr>
          <w:color w:val="000000" w:themeColor="text1"/>
        </w:rPr>
        <w:t>10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9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23364F6D" w14:textId="3125D27B" w:rsidR="00A1373D" w:rsidRDefault="006E7640" w:rsidP="00A1373D">
      <w:pPr>
        <w:pStyle w:val="Pamatteksts"/>
        <w:spacing w:before="2"/>
      </w:pPr>
      <w:r w:rsidRPr="00C34502">
        <w:br w:type="column"/>
      </w:r>
      <w:r w:rsidR="00A1373D">
        <w:t xml:space="preserve">       R.Vavilova</w:t>
      </w:r>
    </w:p>
    <w:p w14:paraId="1308741B" w14:textId="77777777" w:rsidR="00A1373D" w:rsidRDefault="00A1373D" w:rsidP="00A1373D">
      <w:pPr>
        <w:pStyle w:val="Pamatteksts"/>
        <w:spacing w:before="2"/>
      </w:pPr>
    </w:p>
    <w:p w14:paraId="7C425BA7" w14:textId="7A72DA86" w:rsidR="006E7640" w:rsidRDefault="00C559B2" w:rsidP="006E7640">
      <w:pPr>
        <w:pStyle w:val="Pamatteksts"/>
        <w:spacing w:before="4" w:line="388" w:lineRule="auto"/>
        <w:ind w:left="581" w:right="1763" w:hanging="155"/>
      </w:pPr>
      <w:r>
        <w:t>V.Loginovs</w:t>
      </w:r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r w:rsidRPr="00194777">
        <w:t>O.Daļecka</w:t>
      </w:r>
    </w:p>
    <w:p w14:paraId="0BE66352" w14:textId="2BA24D52" w:rsidR="006E7640" w:rsidRDefault="006E7640" w:rsidP="006E7640">
      <w:pPr>
        <w:pStyle w:val="Pamatteksts"/>
        <w:spacing w:before="4" w:line="388" w:lineRule="auto"/>
        <w:ind w:left="581" w:right="1763" w:hanging="155"/>
      </w:pPr>
      <w:r>
        <w:t>M.Liniņa</w:t>
      </w:r>
    </w:p>
    <w:p w14:paraId="0C7D1417" w14:textId="2B9FB076" w:rsidR="0024676B" w:rsidRDefault="0024676B" w:rsidP="006E7640">
      <w:pPr>
        <w:pStyle w:val="Pamatteksts"/>
        <w:spacing w:before="4" w:line="388" w:lineRule="auto"/>
        <w:ind w:left="581" w:right="1763" w:hanging="155"/>
      </w:pPr>
      <w:r>
        <w:t>E.Hrapāne</w:t>
      </w:r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r>
        <w:t>I.Trifonova</w:t>
      </w:r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r>
        <w:t>T.Kraševska</w:t>
      </w:r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T.Kraševska</w:t>
      </w:r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1445" w14:textId="77777777" w:rsidR="00346E3B" w:rsidRDefault="00346E3B" w:rsidP="001C2EB8">
      <w:r>
        <w:separator/>
      </w:r>
    </w:p>
  </w:endnote>
  <w:endnote w:type="continuationSeparator" w:id="0">
    <w:p w14:paraId="64F4B6D9" w14:textId="77777777" w:rsidR="00346E3B" w:rsidRDefault="00346E3B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DD97" w14:textId="77777777" w:rsidR="00346E3B" w:rsidRDefault="00346E3B" w:rsidP="001C2EB8">
      <w:r>
        <w:separator/>
      </w:r>
    </w:p>
  </w:footnote>
  <w:footnote w:type="continuationSeparator" w:id="0">
    <w:p w14:paraId="2C620469" w14:textId="77777777" w:rsidR="00346E3B" w:rsidRDefault="00346E3B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C07FDD"/>
    <w:multiLevelType w:val="hybridMultilevel"/>
    <w:tmpl w:val="1DD85CA8"/>
    <w:lvl w:ilvl="0" w:tplc="2BDA9C4A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4"/>
  </w:num>
  <w:num w:numId="2" w16cid:durableId="562177363">
    <w:abstractNumId w:val="13"/>
  </w:num>
  <w:num w:numId="3" w16cid:durableId="1154641324">
    <w:abstractNumId w:val="10"/>
  </w:num>
  <w:num w:numId="4" w16cid:durableId="692002037">
    <w:abstractNumId w:val="11"/>
  </w:num>
  <w:num w:numId="5" w16cid:durableId="1048797144">
    <w:abstractNumId w:val="8"/>
  </w:num>
  <w:num w:numId="6" w16cid:durableId="266041109">
    <w:abstractNumId w:val="2"/>
  </w:num>
  <w:num w:numId="7" w16cid:durableId="2013408798">
    <w:abstractNumId w:val="9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6"/>
  </w:num>
  <w:num w:numId="11" w16cid:durableId="2136486280">
    <w:abstractNumId w:val="5"/>
  </w:num>
  <w:num w:numId="12" w16cid:durableId="382367546">
    <w:abstractNumId w:val="12"/>
  </w:num>
  <w:num w:numId="13" w16cid:durableId="486748257">
    <w:abstractNumId w:val="7"/>
  </w:num>
  <w:num w:numId="14" w16cid:durableId="186478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3702"/>
    <w:rsid w:val="00186D47"/>
    <w:rsid w:val="00187278"/>
    <w:rsid w:val="00190938"/>
    <w:rsid w:val="00192479"/>
    <w:rsid w:val="00194777"/>
    <w:rsid w:val="001C2EB8"/>
    <w:rsid w:val="001D1F18"/>
    <w:rsid w:val="00204016"/>
    <w:rsid w:val="00205DA9"/>
    <w:rsid w:val="00206EF2"/>
    <w:rsid w:val="00210DF1"/>
    <w:rsid w:val="00213FC8"/>
    <w:rsid w:val="00214A3A"/>
    <w:rsid w:val="00222F0B"/>
    <w:rsid w:val="00226E19"/>
    <w:rsid w:val="00231F98"/>
    <w:rsid w:val="00237178"/>
    <w:rsid w:val="0024676B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1561"/>
    <w:rsid w:val="002F453A"/>
    <w:rsid w:val="00301CBD"/>
    <w:rsid w:val="0030743F"/>
    <w:rsid w:val="00325A35"/>
    <w:rsid w:val="003337F4"/>
    <w:rsid w:val="00341E25"/>
    <w:rsid w:val="0034266A"/>
    <w:rsid w:val="00346E3B"/>
    <w:rsid w:val="00354CBF"/>
    <w:rsid w:val="00365269"/>
    <w:rsid w:val="00373DD1"/>
    <w:rsid w:val="00381DCB"/>
    <w:rsid w:val="003978A9"/>
    <w:rsid w:val="00397CEB"/>
    <w:rsid w:val="003A50B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3EB4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31349"/>
    <w:rsid w:val="00540447"/>
    <w:rsid w:val="00545ACF"/>
    <w:rsid w:val="00582AF4"/>
    <w:rsid w:val="005A4F8D"/>
    <w:rsid w:val="00601966"/>
    <w:rsid w:val="00603A77"/>
    <w:rsid w:val="00622682"/>
    <w:rsid w:val="00631090"/>
    <w:rsid w:val="006479AF"/>
    <w:rsid w:val="0068263B"/>
    <w:rsid w:val="0068368C"/>
    <w:rsid w:val="0069181F"/>
    <w:rsid w:val="006A4B4D"/>
    <w:rsid w:val="006B51F4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099F"/>
    <w:rsid w:val="00896BD1"/>
    <w:rsid w:val="008A0135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373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AF6867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6DC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DE11A4"/>
    <w:rsid w:val="00E47BFF"/>
    <w:rsid w:val="00E51ECE"/>
    <w:rsid w:val="00E561CE"/>
    <w:rsid w:val="00E637C3"/>
    <w:rsid w:val="00E726E7"/>
    <w:rsid w:val="00EA1880"/>
    <w:rsid w:val="00EA60C1"/>
    <w:rsid w:val="00EB2622"/>
    <w:rsid w:val="00EB46B2"/>
    <w:rsid w:val="00EB7488"/>
    <w:rsid w:val="00EC40F5"/>
    <w:rsid w:val="00ED20EC"/>
    <w:rsid w:val="00F04F09"/>
    <w:rsid w:val="00F37B08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6</cp:revision>
  <cp:lastPrinted>2022-10-21T08:31:00Z</cp:lastPrinted>
  <dcterms:created xsi:type="dcterms:W3CDTF">2022-10-14T05:32:00Z</dcterms:created>
  <dcterms:modified xsi:type="dcterms:W3CDTF">2022-10-21T10:16:00Z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