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379B2CE7" w14:textId="77777777" w:rsidR="00112226" w:rsidRDefault="00112226" w:rsidP="00A3416F">
      <w:pPr>
        <w:pStyle w:val="Pamatteksts"/>
        <w:ind w:right="66"/>
        <w:jc w:val="center"/>
        <w:rPr>
          <w:b/>
        </w:rPr>
      </w:pPr>
      <w:r w:rsidRPr="00112226">
        <w:rPr>
          <w:b/>
        </w:rPr>
        <w:t xml:space="preserve">“Veļas žāvētāju piegāde Daugavpils pilsētas pašvaldības iestādei “Sociālais dienests””, ID </w:t>
      </w:r>
      <w:proofErr w:type="spellStart"/>
      <w:r w:rsidRPr="00112226">
        <w:rPr>
          <w:b/>
        </w:rPr>
        <w:t>Nr.DPPISD</w:t>
      </w:r>
      <w:proofErr w:type="spellEnd"/>
      <w:r w:rsidRPr="00112226">
        <w:rPr>
          <w:b/>
        </w:rPr>
        <w:t xml:space="preserve"> 2022/43</w:t>
      </w:r>
    </w:p>
    <w:p w14:paraId="686E9190" w14:textId="24609173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112226">
        <w:t>43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5D78E4D6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112226">
        <w:rPr>
          <w:spacing w:val="-1"/>
        </w:rPr>
        <w:t>31.oktobrī</w:t>
      </w:r>
      <w:r w:rsidR="00A3416F">
        <w:tab/>
      </w:r>
      <w:r w:rsidR="00A3416F" w:rsidRPr="00E41AB8">
        <w:rPr>
          <w:color w:val="000000" w:themeColor="text1"/>
        </w:rPr>
        <w:t xml:space="preserve"> </w:t>
      </w:r>
      <w:r w:rsidR="00723104" w:rsidRPr="00E41AB8">
        <w:rPr>
          <w:color w:val="000000" w:themeColor="text1"/>
        </w:rPr>
        <w:t>Nr.</w:t>
      </w:r>
      <w:r w:rsidR="00E41AB8" w:rsidRPr="00E41AB8">
        <w:rPr>
          <w:color w:val="000000" w:themeColor="text1"/>
        </w:rPr>
        <w:t>2.-4.3/41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10BB02CE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112226">
        <w:rPr>
          <w:color w:val="000000" w:themeColor="text1"/>
        </w:rPr>
        <w:t>17:0</w:t>
      </w:r>
      <w:r w:rsidR="00194777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59CF46CC" w:rsidR="00EB46B2" w:rsidRP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509922A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  <w:p w14:paraId="012C0E80" w14:textId="4404BD67" w:rsidR="00112226" w:rsidRPr="00EB46B2" w:rsidRDefault="00112226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12226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112226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2B9D8A80" w:rsidR="00AC2E3F" w:rsidRPr="00C34502" w:rsidRDefault="00194777" w:rsidP="00950009">
      <w:pPr>
        <w:pStyle w:val="Sarakstarindkopa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R.Vavilova</w:t>
      </w:r>
      <w:proofErr w:type="spellEnd"/>
      <w:r w:rsidR="00AC2E3F" w:rsidRPr="00C34502">
        <w:t xml:space="preserve"> paziņo, ka Dienesta mājas lapā </w:t>
      </w:r>
      <w:hyperlink r:id="rId7">
        <w:r w:rsidR="00AC2E3F" w:rsidRPr="00E72ADE">
          <w:rPr>
            <w:u w:val="single"/>
          </w:rPr>
          <w:t>www.socd.lv</w:t>
        </w:r>
      </w:hyperlink>
      <w:r w:rsidR="00AC2E3F" w:rsidRPr="00C34502">
        <w:t xml:space="preserve"> 20</w:t>
      </w:r>
      <w:r w:rsidR="00AC2E3F">
        <w:t>22</w:t>
      </w:r>
      <w:r w:rsidR="00AC2E3F" w:rsidRPr="00C34502">
        <w:t xml:space="preserve">.gada </w:t>
      </w:r>
      <w:r w:rsidR="00112226">
        <w:t>21.oktobrī</w:t>
      </w:r>
      <w:r w:rsidR="00AC2E3F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AC2E3F">
        <w:t>22</w:t>
      </w:r>
      <w:r w:rsidR="00AC2E3F" w:rsidRPr="00C34502">
        <w:t xml:space="preserve">.gada </w:t>
      </w:r>
      <w:r w:rsidR="00112226">
        <w:t>28.oktobrim</w:t>
      </w:r>
      <w:r w:rsidR="00AC2E3F" w:rsidRPr="00C34502">
        <w:t xml:space="preserve">, plkst.10:00. </w:t>
      </w:r>
      <w:r w:rsidR="00AC2E3F" w:rsidRPr="00E72ADE">
        <w:t xml:space="preserve">Saskaņā ar ziņojuma </w:t>
      </w:r>
      <w:r w:rsidR="00112226">
        <w:t>10</w:t>
      </w:r>
      <w:r w:rsidR="00AC2E3F" w:rsidRPr="00E72ADE">
        <w:t xml:space="preserve">.punktu vērtēšanas kritērijs ir </w:t>
      </w:r>
      <w:r w:rsidR="00AC2E3F">
        <w:t>piedāvājums ar viszemāko cenu</w:t>
      </w:r>
      <w:r w:rsidR="00AC2E3F" w:rsidRPr="00E72ADE">
        <w:t xml:space="preserve">, kas atbilst ziņojumā </w:t>
      </w:r>
      <w:r w:rsidR="00AC2E3F">
        <w:t>minētajām prasībām.</w:t>
      </w:r>
    </w:p>
    <w:p w14:paraId="37998B49" w14:textId="1872840C" w:rsidR="00AC2E3F" w:rsidRPr="002A198C" w:rsidRDefault="00AC2E3F" w:rsidP="00B813FC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426" w:right="0" w:hanging="284"/>
        <w:rPr>
          <w:color w:val="000000" w:themeColor="text1"/>
        </w:rPr>
      </w:pPr>
      <w:r w:rsidRPr="002A198C">
        <w:rPr>
          <w:color w:val="000000" w:themeColor="text1"/>
        </w:rPr>
        <w:t xml:space="preserve">Savu piedāvājumu iesniedza </w:t>
      </w:r>
      <w:r w:rsidR="00112226">
        <w:rPr>
          <w:color w:val="000000" w:themeColor="text1"/>
        </w:rPr>
        <w:t>1</w:t>
      </w:r>
      <w:r w:rsidRPr="002A198C">
        <w:rPr>
          <w:color w:val="000000" w:themeColor="text1"/>
        </w:rPr>
        <w:t xml:space="preserve"> (</w:t>
      </w:r>
      <w:r w:rsidR="00112226">
        <w:rPr>
          <w:color w:val="000000" w:themeColor="text1"/>
        </w:rPr>
        <w:t>viens</w:t>
      </w:r>
      <w:r w:rsidRPr="002A198C">
        <w:rPr>
          <w:color w:val="000000" w:themeColor="text1"/>
        </w:rPr>
        <w:t>)</w:t>
      </w:r>
      <w:r w:rsidRPr="002A198C">
        <w:rPr>
          <w:color w:val="000000" w:themeColor="text1"/>
          <w:spacing w:val="2"/>
        </w:rPr>
        <w:t xml:space="preserve"> </w:t>
      </w:r>
      <w:r w:rsidRPr="002A198C">
        <w:rPr>
          <w:color w:val="000000" w:themeColor="text1"/>
        </w:rPr>
        <w:t>pretendent</w:t>
      </w:r>
      <w:r w:rsidR="00112226">
        <w:rPr>
          <w:color w:val="000000" w:themeColor="text1"/>
        </w:rPr>
        <w:t>s:</w:t>
      </w:r>
    </w:p>
    <w:tbl>
      <w:tblPr>
        <w:tblStyle w:val="TableNormal"/>
        <w:tblW w:w="6877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835"/>
      </w:tblGrid>
      <w:tr w:rsidR="00545ACF" w14:paraId="699FAA0C" w14:textId="77777777" w:rsidTr="00545ACF">
        <w:trPr>
          <w:trHeight w:val="625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6DBA14E0" w14:textId="77777777" w:rsidR="00545ACF" w:rsidRPr="00C34502" w:rsidRDefault="00545ACF" w:rsidP="00112C40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4555B62" w14:textId="12A6A1AC" w:rsidR="00545ACF" w:rsidRDefault="00545ACF" w:rsidP="001C17A2">
            <w:pPr>
              <w:pStyle w:val="TableParagraph"/>
              <w:spacing w:before="0"/>
              <w:ind w:left="153" w:right="136" w:firstLine="125"/>
              <w:rPr>
                <w:b/>
              </w:rPr>
            </w:pPr>
            <w:r w:rsidRPr="00194777">
              <w:rPr>
                <w:b/>
              </w:rPr>
              <w:t>Piedāvātā līgumcena</w:t>
            </w:r>
            <w:r>
              <w:rPr>
                <w:b/>
              </w:rPr>
              <w:t>,</w:t>
            </w:r>
            <w:r w:rsidRPr="00194777">
              <w:rPr>
                <w:b/>
              </w:rPr>
              <w:t xml:space="preserve"> EUR </w:t>
            </w:r>
            <w:r>
              <w:rPr>
                <w:b/>
              </w:rPr>
              <w:t>ar</w:t>
            </w:r>
            <w:r w:rsidRPr="00194777">
              <w:rPr>
                <w:b/>
              </w:rPr>
              <w:t xml:space="preserve"> PVN</w:t>
            </w:r>
          </w:p>
        </w:tc>
      </w:tr>
      <w:tr w:rsidR="00545ACF" w14:paraId="063AEDAB" w14:textId="77777777" w:rsidTr="00545ACF">
        <w:trPr>
          <w:trHeight w:val="450"/>
        </w:trPr>
        <w:tc>
          <w:tcPr>
            <w:tcW w:w="4042" w:type="dxa"/>
            <w:vAlign w:val="center"/>
          </w:tcPr>
          <w:p w14:paraId="2D4B7A55" w14:textId="2A0AB4C1" w:rsidR="00545ACF" w:rsidRPr="00C34502" w:rsidRDefault="00545ACF" w:rsidP="00545ACF">
            <w:pPr>
              <w:pStyle w:val="TableParagraph"/>
              <w:ind w:left="4" w:right="-12"/>
            </w:pPr>
            <w:r>
              <w:t>SIA “</w:t>
            </w:r>
            <w:r w:rsidR="00112226">
              <w:t>SEMICOM</w:t>
            </w:r>
            <w:r>
              <w:t>” (reģ.Nr.</w:t>
            </w:r>
            <w:r w:rsidR="00112226">
              <w:t>40003729305</w:t>
            </w:r>
            <w:r>
              <w:t>)</w:t>
            </w:r>
          </w:p>
        </w:tc>
        <w:tc>
          <w:tcPr>
            <w:tcW w:w="2835" w:type="dxa"/>
            <w:vAlign w:val="center"/>
          </w:tcPr>
          <w:p w14:paraId="0D941D76" w14:textId="5E779A12" w:rsidR="00545ACF" w:rsidRDefault="00112226" w:rsidP="001C17A2">
            <w:pPr>
              <w:pStyle w:val="TableParagraph"/>
              <w:ind w:left="0" w:right="-8" w:firstLine="6"/>
            </w:pPr>
            <w:r>
              <w:t>1017,46</w:t>
            </w:r>
          </w:p>
        </w:tc>
      </w:tr>
    </w:tbl>
    <w:p w14:paraId="0878D832" w14:textId="5D907E99" w:rsidR="00222F0B" w:rsidRDefault="00AE029A" w:rsidP="00112226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>
        <w:rPr>
          <w:color w:val="000000" w:themeColor="text1"/>
        </w:rPr>
        <w:t xml:space="preserve">Izvērtējot </w:t>
      </w:r>
      <w:r w:rsidR="00112226" w:rsidRPr="00112226">
        <w:rPr>
          <w:color w:val="000000" w:themeColor="text1"/>
        </w:rPr>
        <w:t>SIA “SEMICOM”</w:t>
      </w:r>
      <w:r>
        <w:rPr>
          <w:color w:val="000000" w:themeColor="text1"/>
        </w:rPr>
        <w:t xml:space="preserve"> piedāvājumu, </w:t>
      </w:r>
      <w:r w:rsidR="00112226" w:rsidRPr="00112226">
        <w:rPr>
          <w:color w:val="000000" w:themeColor="text1"/>
        </w:rPr>
        <w:t xml:space="preserve">komisija konstatēja, ka pretendenta piedāvātā cena </w:t>
      </w:r>
      <w:r w:rsidR="00112226">
        <w:rPr>
          <w:color w:val="000000" w:themeColor="text1"/>
        </w:rPr>
        <w:t xml:space="preserve">(EUR </w:t>
      </w:r>
      <w:r w:rsidR="00112226" w:rsidRPr="00112226">
        <w:rPr>
          <w:color w:val="000000" w:themeColor="text1"/>
        </w:rPr>
        <w:t>1017,46</w:t>
      </w:r>
      <w:r w:rsidR="00112226">
        <w:rPr>
          <w:color w:val="000000" w:themeColor="text1"/>
        </w:rPr>
        <w:t xml:space="preserve"> ar PVN) </w:t>
      </w:r>
      <w:r w:rsidR="00112226" w:rsidRPr="00112226">
        <w:rPr>
          <w:color w:val="000000" w:themeColor="text1"/>
        </w:rPr>
        <w:t xml:space="preserve">pārsniedz paredzamo līgumcenu </w:t>
      </w:r>
      <w:r w:rsidR="00112226">
        <w:rPr>
          <w:color w:val="000000" w:themeColor="text1"/>
        </w:rPr>
        <w:t>(EUR 999,00 ar PVN).</w:t>
      </w:r>
    </w:p>
    <w:p w14:paraId="05D71474" w14:textId="7B4BE8C3" w:rsidR="00A05FD8" w:rsidRPr="00112226" w:rsidRDefault="00112226" w:rsidP="00112226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112226">
        <w:t xml:space="preserve">Komisija nolēma izbeigt </w:t>
      </w:r>
      <w:proofErr w:type="spellStart"/>
      <w:r w:rsidRPr="00112226">
        <w:t>zemsliekšņa</w:t>
      </w:r>
      <w:proofErr w:type="spellEnd"/>
      <w:r w:rsidRPr="00112226">
        <w:t xml:space="preserve"> iepirkum</w:t>
      </w:r>
      <w:r>
        <w:t xml:space="preserve">u </w:t>
      </w:r>
      <w:r w:rsidRPr="00112226">
        <w:t>bez rezultāta, ņemot vērā to, ka Dienesta budžeta finansējums liedz iespēju iegādāties preces par cenu, kas pārsniedz paredzamo līgumcenu</w:t>
      </w:r>
      <w:r>
        <w:t>.</w:t>
      </w:r>
    </w:p>
    <w:p w14:paraId="43F02363" w14:textId="1FF7F0A1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 w:rsidR="00A20C9A">
        <w:t xml:space="preserve"> </w:t>
      </w:r>
      <w:r w:rsidR="009B36C8">
        <w:t>– “par”</w:t>
      </w:r>
    </w:p>
    <w:p w14:paraId="552E5450" w14:textId="2A2D7A00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lastRenderedPageBreak/>
        <w:t>I.Trifonova</w:t>
      </w:r>
      <w:proofErr w:type="spellEnd"/>
      <w:r>
        <w:t xml:space="preserve"> – “par”</w:t>
      </w:r>
    </w:p>
    <w:p w14:paraId="2DAE20E7" w14:textId="1BC8FABC" w:rsidR="00112226" w:rsidRDefault="00112226" w:rsidP="00112C40">
      <w:pPr>
        <w:pStyle w:val="Pamatteksts"/>
        <w:spacing w:before="157"/>
        <w:ind w:left="502"/>
        <w:jc w:val="both"/>
      </w:pPr>
      <w:proofErr w:type="spellStart"/>
      <w:r>
        <w:t>E.Hrapāne</w:t>
      </w:r>
      <w:proofErr w:type="spellEnd"/>
      <w:r w:rsidRPr="00112226">
        <w:t xml:space="preserve"> 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060265AA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112226">
        <w:rPr>
          <w:i/>
          <w:iCs/>
        </w:rPr>
        <w:t>7</w:t>
      </w:r>
      <w:r w:rsidRPr="009B36C8">
        <w:rPr>
          <w:i/>
          <w:iCs/>
        </w:rPr>
        <w:t xml:space="preserve"> (</w:t>
      </w:r>
      <w:r w:rsidR="00112226">
        <w:rPr>
          <w:i/>
          <w:iCs/>
        </w:rPr>
        <w:t>septiņas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0223DFC2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112226">
        <w:rPr>
          <w:color w:val="000000" w:themeColor="text1"/>
        </w:rPr>
        <w:t>17</w:t>
      </w:r>
      <w:r w:rsidR="00EB46B2" w:rsidRPr="004455C1">
        <w:rPr>
          <w:color w:val="000000" w:themeColor="text1"/>
        </w:rPr>
        <w:t>:</w:t>
      </w:r>
      <w:r w:rsidR="00112226">
        <w:rPr>
          <w:color w:val="000000" w:themeColor="text1"/>
        </w:rPr>
        <w:t>15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0BE66352" w14:textId="3E9B3389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6314ECA7" w14:textId="354BCA74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37A287BB" w14:textId="2EAEDA77" w:rsidR="00112226" w:rsidRDefault="00112226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38BE" w14:textId="77777777" w:rsidR="00E61CBB" w:rsidRDefault="00E61CBB" w:rsidP="001C2EB8">
      <w:r>
        <w:separator/>
      </w:r>
    </w:p>
  </w:endnote>
  <w:endnote w:type="continuationSeparator" w:id="0">
    <w:p w14:paraId="2F929D19" w14:textId="77777777" w:rsidR="00E61CBB" w:rsidRDefault="00E61CBB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B64E" w14:textId="77777777" w:rsidR="00E61CBB" w:rsidRDefault="00E61CBB" w:rsidP="001C2EB8">
      <w:r>
        <w:separator/>
      </w:r>
    </w:p>
  </w:footnote>
  <w:footnote w:type="continuationSeparator" w:id="0">
    <w:p w14:paraId="3DAF7D2D" w14:textId="77777777" w:rsidR="00E61CBB" w:rsidRDefault="00E61CBB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226"/>
    <w:rsid w:val="00112C40"/>
    <w:rsid w:val="00131667"/>
    <w:rsid w:val="001344AE"/>
    <w:rsid w:val="00146074"/>
    <w:rsid w:val="0015325E"/>
    <w:rsid w:val="00153F06"/>
    <w:rsid w:val="001674E6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453A"/>
    <w:rsid w:val="00301CBD"/>
    <w:rsid w:val="0030743F"/>
    <w:rsid w:val="00325A35"/>
    <w:rsid w:val="003337F4"/>
    <w:rsid w:val="00341E25"/>
    <w:rsid w:val="0034266A"/>
    <w:rsid w:val="00354CBF"/>
    <w:rsid w:val="00373DD1"/>
    <w:rsid w:val="00381DCB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2AF4"/>
    <w:rsid w:val="005A4F8D"/>
    <w:rsid w:val="00601966"/>
    <w:rsid w:val="00603A77"/>
    <w:rsid w:val="00622682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1AB8"/>
    <w:rsid w:val="00E47BFF"/>
    <w:rsid w:val="00E51ECE"/>
    <w:rsid w:val="00E61CBB"/>
    <w:rsid w:val="00E726E7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17</cp:revision>
  <cp:lastPrinted>2022-10-31T15:57:00Z</cp:lastPrinted>
  <dcterms:created xsi:type="dcterms:W3CDTF">2022-05-27T08:17:00Z</dcterms:created>
  <dcterms:modified xsi:type="dcterms:W3CDTF">2022-10-31T16:07:00Z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